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аукциона в электронной форме на право заключения договора аренды земельного участка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jc w:val="both"/>
        <w:rPr/>
      </w:pPr>
      <w:r>
        <w:rPr>
          <w:b/>
          <w:iCs/>
        </w:rPr>
        <w:t xml:space="preserve">1. </w:t>
      </w:r>
      <w:r>
        <w:rPr>
          <w:iCs/>
        </w:rPr>
        <w:t xml:space="preserve"> </w:t>
      </w:r>
      <w:r>
        <w:rPr>
          <w:b/>
          <w:bCs/>
          <w:i/>
          <w:u w:val="single"/>
        </w:rPr>
        <w:t>О</w:t>
      </w:r>
      <w:r>
        <w:rPr>
          <w:b/>
          <w:i/>
          <w:u w:val="single"/>
        </w:rPr>
        <w:t>рганизатор аукциона</w:t>
      </w:r>
      <w:r>
        <w:rPr>
          <w:b/>
          <w:i/>
        </w:rPr>
        <w:t>:</w:t>
      </w:r>
      <w:r>
        <w:rPr/>
        <w:t xml:space="preserve"> </w:t>
      </w:r>
    </w:p>
    <w:p>
      <w:pPr>
        <w:pStyle w:val="Normal"/>
        <w:ind w:firstLine="708"/>
        <w:jc w:val="both"/>
        <w:rPr>
          <w:bCs/>
        </w:rPr>
      </w:pPr>
      <w:r>
        <w:rPr>
          <w:bCs/>
        </w:rPr>
        <w:t>Администрация Великолукского района: 182110, Псковская обл., г. Великие Луки, проспект Гагарина, д. 6, тел. 8 (81153) 5-77-34, 3-62-35.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both"/>
        <w:rPr>
          <w:rFonts w:cs="Arial CYR"/>
          <w:color w:val="FF0000"/>
        </w:rPr>
      </w:pPr>
      <w:r>
        <w:rPr>
          <w:rFonts w:cs="Arial CYR"/>
          <w:b/>
          <w:color w:val="000000"/>
        </w:rPr>
        <w:tab/>
        <w:t xml:space="preserve"> 2.</w:t>
      </w:r>
      <w:r>
        <w:rPr>
          <w:rFonts w:cs="Arial CYR"/>
          <w:color w:val="000000"/>
        </w:rPr>
        <w:t xml:space="preserve"> </w:t>
      </w:r>
      <w:r>
        <w:rPr>
          <w:rFonts w:cs="Arial CYR"/>
          <w:b/>
          <w:i/>
          <w:color w:val="000000"/>
          <w:u w:val="single"/>
        </w:rPr>
        <w:t>Уполномоченный орган и реквизиты решения о проведении аукциона</w:t>
      </w:r>
      <w:r>
        <w:rPr>
          <w:rFonts w:cs="Arial CYR"/>
          <w:b/>
          <w:i/>
          <w:color w:val="000000"/>
        </w:rPr>
        <w:t>:</w:t>
      </w:r>
      <w:r>
        <w:rPr>
          <w:rFonts w:cs="Arial CYR"/>
          <w:color w:val="000000"/>
        </w:rPr>
        <w:t xml:space="preserve"> Постановление Администрации Великолукского района Псковской области от 10.03.2025                       № 251</w:t>
      </w:r>
      <w:r>
        <w:rPr>
          <w:rFonts w:cs="Arial CYR"/>
          <w:color w:val="FF0000"/>
        </w:rPr>
        <w:t xml:space="preserve"> </w:t>
      </w:r>
      <w:r>
        <w:rPr>
          <w:rFonts w:cs="Arial CYR"/>
          <w:color w:val="000000"/>
        </w:rPr>
        <w:t>«О проведении электронного аукциона на право заключения договора аренды земельного участка».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both"/>
        <w:rPr>
          <w:rFonts w:cs="Arial CYR"/>
        </w:rPr>
      </w:pPr>
      <w:r>
        <w:rPr>
          <w:rFonts w:cs="Arial CYR"/>
          <w:color w:val="FF0000"/>
        </w:rPr>
        <w:tab/>
      </w:r>
      <w:r>
        <w:rPr>
          <w:rFonts w:cs="Arial CYR"/>
          <w:b/>
          <w:color w:val="FF0000"/>
        </w:rPr>
        <w:t xml:space="preserve">  </w:t>
      </w:r>
      <w:r>
        <w:rPr>
          <w:rFonts w:cs="Arial CYR"/>
          <w:b/>
        </w:rPr>
        <w:t xml:space="preserve">3. </w:t>
      </w:r>
      <w:r>
        <w:rPr>
          <w:rFonts w:cs="Arial CYR"/>
        </w:rPr>
        <w:t xml:space="preserve"> </w:t>
      </w:r>
      <w:r>
        <w:rPr>
          <w:rFonts w:cs="Arial CYR"/>
          <w:b/>
          <w:i/>
          <w:u w:val="single"/>
        </w:rPr>
        <w:t>Место, дата и время и порядок проведения электронного аукциона</w:t>
      </w:r>
      <w:r>
        <w:rPr>
          <w:rFonts w:cs="Arial CYR"/>
          <w:b/>
          <w:i/>
        </w:rPr>
        <w:t>:</w:t>
      </w:r>
      <w:r>
        <w:rPr>
          <w:rFonts w:cs="Arial CYR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both"/>
        <w:rPr>
          <w:rFonts w:cs="Arial CYR"/>
        </w:rPr>
      </w:pPr>
      <w:r>
        <w:rPr>
          <w:rFonts w:cs="Arial CYR"/>
        </w:rPr>
        <w:tab/>
        <w:t>Электронная площадка – 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center"/>
        <w:rPr>
          <w:rFonts w:cs="Arial CYR"/>
          <w:b/>
          <w:b/>
          <w:u w:val="single"/>
        </w:rPr>
      </w:pPr>
      <w:r>
        <w:rPr>
          <w:rFonts w:cs="Arial CYR"/>
          <w:b/>
          <w:u w:val="single"/>
        </w:rPr>
        <w:t>Аукцион в электронной форме состоится</w:t>
      </w:r>
      <w:r>
        <w:rPr>
          <w:rFonts w:cs="Arial CYR"/>
          <w:b/>
          <w:color w:val="FF0000"/>
          <w:u w:val="single"/>
        </w:rPr>
        <w:t xml:space="preserve"> </w:t>
      </w:r>
      <w:r>
        <w:rPr>
          <w:rFonts w:cs="Arial CYR"/>
          <w:b/>
          <w:color w:val="000000"/>
          <w:u w:val="single"/>
        </w:rPr>
        <w:t xml:space="preserve">28 апреля 2025 г. </w:t>
      </w:r>
      <w:r>
        <w:rPr>
          <w:rFonts w:cs="Arial CYR"/>
          <w:b/>
          <w:u w:val="single"/>
        </w:rPr>
        <w:t>в 10 час. 00 мин.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center"/>
        <w:rPr>
          <w:rFonts w:cs="Arial CYR"/>
          <w:b/>
          <w:b/>
          <w:u w:val="single"/>
        </w:rPr>
      </w:pPr>
      <w:r>
        <w:rPr>
          <w:rFonts w:cs="Arial CYR"/>
          <w:b/>
          <w:u w:val="single"/>
        </w:rPr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center"/>
        <w:rPr>
          <w:u w:val="single"/>
        </w:rPr>
      </w:pPr>
      <w:r>
        <w:rPr>
          <w:u w:val="single"/>
        </w:rPr>
        <w:t>Порядок проведения аукциона в электронной форме</w:t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3600" w:leader="none"/>
        </w:tabs>
        <w:jc w:val="both"/>
        <w:rPr/>
      </w:pPr>
      <w:r>
        <w:rPr/>
        <w:tab/>
        <w:t xml:space="preserve"> Проведение аукциона в электронной форме осуществляется в Торговой Секции «Приватизация, аренда и продажа прав» (далее – ТС) в соответствии с Земельным кодексом РФ с учетом особенностей, указанных в разделе 23 Регламента ТС.</w:t>
      </w:r>
    </w:p>
    <w:p>
      <w:pPr>
        <w:pStyle w:val="Normal"/>
        <w:ind w:firstLine="567"/>
        <w:jc w:val="both"/>
        <w:rPr/>
      </w:pPr>
      <w:r>
        <w:rPr/>
        <w:t>Подача предложений о цене (торговая сессия) проводится в день и время, указанные в извещении.</w:t>
      </w:r>
    </w:p>
    <w:p>
      <w:pPr>
        <w:pStyle w:val="Normal"/>
        <w:ind w:firstLine="567"/>
        <w:jc w:val="both"/>
        <w:rPr/>
      </w:pPr>
      <w:r>
        <w:rPr/>
        <w:t xml:space="preserve">Торговая сессия не проводится в случаях, если: </w:t>
      </w:r>
    </w:p>
    <w:p>
      <w:pPr>
        <w:pStyle w:val="Normal"/>
        <w:ind w:firstLine="567"/>
        <w:jc w:val="both"/>
        <w:rPr/>
      </w:pPr>
      <w:r>
        <w:rPr/>
        <w:t xml:space="preserve">- на участие в торгах не подано или не принято ни одной заявки, либо принята только одна заявка; </w:t>
      </w:r>
    </w:p>
    <w:p>
      <w:pPr>
        <w:pStyle w:val="Normal"/>
        <w:ind w:firstLine="567"/>
        <w:jc w:val="both"/>
        <w:rPr/>
      </w:pPr>
      <w:r>
        <w:rPr/>
        <w:t xml:space="preserve">- в результате рассмотрения заявок на участие в торгах все заявки отклонены; </w:t>
      </w:r>
    </w:p>
    <w:p>
      <w:pPr>
        <w:pStyle w:val="Normal"/>
        <w:ind w:firstLine="567"/>
        <w:jc w:val="both"/>
        <w:rPr/>
      </w:pPr>
      <w:r>
        <w:rPr/>
        <w:t xml:space="preserve">- в результате рассмотрения заявок на участие в торгах участником признан только один Претендент; </w:t>
      </w:r>
    </w:p>
    <w:p>
      <w:pPr>
        <w:pStyle w:val="Normal"/>
        <w:ind w:firstLine="567"/>
        <w:jc w:val="both"/>
        <w:rPr/>
      </w:pPr>
      <w:r>
        <w:rPr/>
        <w:t xml:space="preserve">- торги (лоты) отменены Организатором процедуры; </w:t>
      </w:r>
    </w:p>
    <w:p>
      <w:pPr>
        <w:pStyle w:val="Normal"/>
        <w:ind w:firstLine="567"/>
        <w:jc w:val="both"/>
        <w:rPr/>
      </w:pPr>
      <w:r>
        <w:rPr/>
        <w:t xml:space="preserve">- этап подачи предложений о цене по торгам (лоту) приостановлен. </w:t>
      </w:r>
    </w:p>
    <w:p>
      <w:pPr>
        <w:pStyle w:val="Normal"/>
        <w:ind w:firstLine="567"/>
        <w:jc w:val="both"/>
        <w:rPr/>
      </w:pPr>
      <w:r>
        <w:rPr/>
        <w:t xml:space="preserve">С момента начала подачи предложений о цене в ходе торговой сессии Оператор обеспечивает в Личном кабинете Участника возможность ввода предложений о цене посредством штатного интерфейса ТС отдельно по каждому лоту. Предложением о цене признается подписанное ЭП Участника ценовое предложение. </w:t>
      </w:r>
    </w:p>
    <w:p>
      <w:pPr>
        <w:pStyle w:val="Normal"/>
        <w:ind w:firstLine="567"/>
        <w:jc w:val="both"/>
        <w:rPr/>
      </w:pPr>
      <w:r>
        <w:rPr/>
        <w:t xml:space="preserve">Для торговой сессии по аукционам, проводимым в соответствии с Земельным кодексом РФ время на подачу предложений о цене составляет </w:t>
      </w:r>
      <w:r>
        <w:rPr>
          <w:u w:val="single"/>
        </w:rPr>
        <w:t>10 минут.</w:t>
      </w:r>
    </w:p>
    <w:p>
      <w:pPr>
        <w:pStyle w:val="Normal"/>
        <w:ind w:firstLine="567"/>
        <w:jc w:val="both"/>
        <w:rPr/>
      </w:pPr>
      <w:r>
        <w:rPr/>
        <w:t xml:space="preserve">При подаче предложений о цене Оператор обеспечивает конфиденциальность информации об участниках. 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Торговая сессия проводится путем последовательного повышения Участниками начальной цены предмета аукциона на величину, равную величине «шага аукциона».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«Шаг аукциона» устанавливается Организатором процедуры в фиксированной сумме и не изменяется в течение всего времени подачи предложений о цене.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Время для подачи предложений о цене определяется в следующем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порядке: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 xml:space="preserve">– </w:t>
      </w:r>
      <w:r>
        <w:rPr>
          <w:color w:val="000000"/>
        </w:rPr>
        <w:t>время для подачи первого предложения о цене составляет 10 минут с момента начала аукциона;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 xml:space="preserve">– </w:t>
      </w:r>
      <w:r>
        <w:rPr>
          <w:color w:val="000000"/>
        </w:rPr>
        <w:t>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 xml:space="preserve">В ходе проведения подачи предложений о цене Оператор программными средствами УТП обеспечивает отклонение предложения о цене в момент его поступления и соответствующее уведомление Участника, в случаях: </w:t>
      </w:r>
    </w:p>
    <w:p>
      <w:pPr>
        <w:pStyle w:val="Normal"/>
        <w:ind w:firstLine="567"/>
        <w:jc w:val="both"/>
        <w:rPr/>
      </w:pPr>
      <w:r>
        <w:rPr/>
        <w:t xml:space="preserve">- предложение о цене подано до начала или по истечении установленного времени для подачи предложений о цене; </w:t>
      </w:r>
    </w:p>
    <w:p>
      <w:pPr>
        <w:pStyle w:val="Normal"/>
        <w:ind w:firstLine="567"/>
        <w:jc w:val="both"/>
        <w:rPr/>
      </w:pPr>
      <w:r>
        <w:rPr/>
        <w:t xml:space="preserve">- представленное предложение о цене ниже начальной цены; </w:t>
      </w:r>
    </w:p>
    <w:p>
      <w:pPr>
        <w:pStyle w:val="Normal"/>
        <w:ind w:firstLine="567"/>
        <w:jc w:val="both"/>
        <w:rPr/>
      </w:pPr>
      <w:r>
        <w:rPr/>
        <w:t xml:space="preserve">- представленное предложение о цене равно нулю; </w:t>
      </w:r>
    </w:p>
    <w:p>
      <w:pPr>
        <w:pStyle w:val="Normal"/>
        <w:ind w:firstLine="567"/>
        <w:jc w:val="both"/>
        <w:rPr/>
      </w:pPr>
      <w:r>
        <w:rPr/>
        <w:t xml:space="preserve">- представленное предложение о цене не соответствует увеличению текущей цены в соответствии с «шагом аукциона»; </w:t>
      </w:r>
    </w:p>
    <w:p>
      <w:pPr>
        <w:pStyle w:val="Normal"/>
        <w:ind w:firstLine="567"/>
        <w:jc w:val="both"/>
        <w:rPr/>
      </w:pPr>
      <w:r>
        <w:rPr/>
        <w:t xml:space="preserve">- представленное Участником предложение о цене меньше ранее представленных предложений; </w:t>
      </w:r>
    </w:p>
    <w:p>
      <w:pPr>
        <w:pStyle w:val="Normal"/>
        <w:ind w:firstLine="567"/>
        <w:jc w:val="both"/>
        <w:rPr>
          <w:color w:val="000000"/>
        </w:rPr>
      </w:pPr>
      <w:r>
        <w:rPr/>
        <w:t>- представленное Участником предложение о цене является лучшим текущим предложением о цене</w:t>
      </w:r>
      <w:r>
        <w:rPr>
          <w:color w:val="000000"/>
        </w:rPr>
        <w:t>, а также с учетом условий хода торговой сессии, установленных в извещении.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Победителем аукциона признается участник, предложивший ниболее высокую цену предмета аукциона.</w:t>
      </w:r>
    </w:p>
    <w:p>
      <w:pPr>
        <w:pStyle w:val="Normal"/>
        <w:ind w:firstLine="567"/>
        <w:jc w:val="both"/>
        <w:rPr/>
      </w:pPr>
      <w:r>
        <w:rPr/>
        <w:t xml:space="preserve">Ход проведения процедуры подачи предложений о цене по лоту фиксируется Оператором в электронном журнале. Журнал с предложениями о цене Участников направляется в Личный кабинет Организатора процедуры в течение одного часа со времени завершения торговой сессии. По аукциону Оператор направляет в Личный кабинет Организатора процедуры журнал с лучшими ценовыми предложениями Участников аукциона и посредством штатного интерфейса ТС обеспечивает просмотр всех предложений о цене, поданных Участниками аукциона. </w:t>
      </w:r>
    </w:p>
    <w:p>
      <w:pPr>
        <w:pStyle w:val="Normal"/>
        <w:ind w:firstLine="567"/>
        <w:jc w:val="both"/>
        <w:rPr>
          <w:color w:val="000000"/>
        </w:rPr>
      </w:pPr>
      <w:r>
        <w:rPr/>
        <w:t>Оператор прекращает блокирование в отношении денежных средств Участников, не сделавших предложения о цене в ходе торговой сессии по лоту, заблокированных в размере задатка на лицевом счете на площадке не позднее одного дня, следующего за днем завершения торговой сессии.</w:t>
      </w:r>
    </w:p>
    <w:p>
      <w:pPr>
        <w:pStyle w:val="Normal"/>
        <w:ind w:firstLine="567"/>
        <w:jc w:val="both"/>
        <w:rPr/>
      </w:pPr>
      <w:r>
        <w:rPr/>
        <w:t xml:space="preserve">Подведение итогов торгов: </w:t>
      </w:r>
    </w:p>
    <w:p>
      <w:pPr>
        <w:pStyle w:val="Normal"/>
        <w:ind w:firstLine="567"/>
        <w:jc w:val="both"/>
        <w:rPr/>
      </w:pPr>
      <w:r>
        <w:rPr/>
        <w:t xml:space="preserve">уполномоченный специалист организатора процедуры посредством штатного интерфейса в установленный срок по каждому лоту отдельно формирует протокол об итогах, прикладывает копию письменного протокола в виде файла (при наличии) и подписывает ЭП. Оператор обеспечивает направление выписки из протокола об итогах в установленный срок в ГИС Торги. 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Оператор в течение одного часа со времени подписания Организатором процедуры протокола об итогах: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- направляет победителю аукциона или единственному участнику аукциона уведомление с протоколом об итогах;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-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аукциона;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- размещает в открытой части ТС протокол об итогах.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Организатор процедуры посредством штатного интерфейса ТС формирует поручение Оператору о перечислении задатка победителя аукциона, единственного участника.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  <w:t>Заключение договора в электронной форме осуществляется сторонами в установленный срок посредством штатного интерфейса ТС либо ГИС Торги.</w:t>
      </w:r>
    </w:p>
    <w:p>
      <w:pPr>
        <w:pStyle w:val="Normal"/>
        <w:ind w:firstLine="567"/>
        <w:jc w:val="both"/>
        <w:rPr>
          <w:rFonts w:cs="Arial CYR"/>
          <w:color w:val="FF0000"/>
        </w:rPr>
      </w:pPr>
      <w:r>
        <w:rPr>
          <w:color w:val="000000"/>
        </w:rPr>
        <w:t>Организатор процедуры посредством штатного интерфейса ТС в случае необходимости формирует сведения о заключении договора и/или протокол об уклонении от заключения договора.</w:t>
      </w:r>
    </w:p>
    <w:p>
      <w:pPr>
        <w:pStyle w:val="Normal"/>
        <w:ind w:firstLine="567"/>
        <w:rPr/>
      </w:pPr>
      <w:r>
        <w:rPr>
          <w:b/>
        </w:rPr>
        <w:t>4.</w:t>
      </w:r>
      <w:r>
        <w:rPr/>
        <w:t xml:space="preserve"> </w:t>
      </w:r>
      <w:r>
        <w:rPr>
          <w:b/>
          <w:i/>
          <w:u w:val="single"/>
        </w:rPr>
        <w:t>Предмет аукциона</w:t>
      </w:r>
      <w:r>
        <w:rPr>
          <w:b/>
          <w:i/>
        </w:rPr>
        <w:t>:</w:t>
      </w:r>
    </w:p>
    <w:p>
      <w:pPr>
        <w:pStyle w:val="Normal"/>
        <w:jc w:val="both"/>
        <w:rPr/>
      </w:pPr>
      <w:r>
        <w:rPr/>
        <w:t>Право заключения договора аренды земельного участка.</w:t>
      </w:r>
    </w:p>
    <w:p>
      <w:pPr>
        <w:pStyle w:val="Normal"/>
        <w:jc w:val="both"/>
        <w:rPr/>
      </w:pPr>
      <w:r>
        <w:rPr/>
        <w:t>Срок аренды земельного участка:20</w:t>
      </w:r>
      <w:r>
        <w:rPr>
          <w:u w:val="single"/>
        </w:rPr>
        <w:t xml:space="preserve"> (двадцать) лет</w:t>
      </w:r>
      <w:r>
        <w:rPr/>
        <w:t>.</w:t>
      </w:r>
    </w:p>
    <w:p>
      <w:pPr>
        <w:pStyle w:val="Normal"/>
        <w:jc w:val="both"/>
        <w:rPr/>
      </w:pPr>
      <w:r>
        <w:rPr>
          <w:u w:val="single"/>
        </w:rPr>
        <w:t>Лот 1.</w:t>
      </w:r>
      <w:r>
        <w:rPr/>
        <w:t xml:space="preserve"> Земельный участок.</w:t>
      </w:r>
    </w:p>
    <w:p>
      <w:pPr>
        <w:pStyle w:val="Normal"/>
        <w:jc w:val="both"/>
        <w:rPr/>
      </w:pPr>
      <w:r>
        <w:rPr/>
        <w:t>Категория земель: земли населенных пунктов</w:t>
      </w:r>
    </w:p>
    <w:p>
      <w:pPr>
        <w:pStyle w:val="Normal"/>
        <w:jc w:val="both"/>
        <w:rPr/>
      </w:pPr>
      <w:r>
        <w:rPr/>
        <w:t xml:space="preserve">Кадастровый номер: </w:t>
      </w:r>
      <w:r>
        <w:rPr>
          <w:b/>
        </w:rPr>
        <w:t>60:02:0131201:777.</w:t>
      </w:r>
    </w:p>
    <w:p>
      <w:pPr>
        <w:pStyle w:val="Normal"/>
        <w:jc w:val="both"/>
        <w:rPr/>
      </w:pPr>
      <w:r>
        <w:rPr/>
        <w:t>Площадь: 1500 кв.м.</w:t>
      </w:r>
    </w:p>
    <w:p>
      <w:pPr>
        <w:pStyle w:val="Normal"/>
        <w:jc w:val="both"/>
        <w:rPr/>
      </w:pPr>
      <w:r>
        <w:rPr/>
        <w:t>Вид разрешенного использования: для ведения личного подсобного хозяйства.</w:t>
      </w:r>
    </w:p>
    <w:p>
      <w:pPr>
        <w:pStyle w:val="Normal"/>
        <w:jc w:val="both"/>
        <w:rPr/>
      </w:pPr>
      <w:r>
        <w:rPr/>
        <w:t>Местоположение: Российская Федерация, Псковская область, муниципальный район Великолукский, сельское поселение «Шелковская волость», д. Баландино.</w:t>
      </w:r>
    </w:p>
    <w:p>
      <w:pPr>
        <w:pStyle w:val="Normal"/>
        <w:jc w:val="both"/>
        <w:rPr/>
      </w:pPr>
      <w:r>
        <w:rPr/>
        <w:t>Границы земельного участка: установлены в соответствии с действующим законодательством.</w:t>
      </w:r>
    </w:p>
    <w:p>
      <w:pPr>
        <w:pStyle w:val="Normal"/>
        <w:jc w:val="both"/>
        <w:rPr/>
      </w:pPr>
      <w:r>
        <w:rPr/>
        <w:t>Сведения о правах: государственная собственность на земельный участок не разграничена.</w:t>
      </w:r>
    </w:p>
    <w:p>
      <w:pPr>
        <w:pStyle w:val="Normal"/>
        <w:suppressAutoHyphens w:val="true"/>
        <w:spacing w:lineRule="atLeast" w:line="100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Lucida Sans Unicode"/>
          <w:color w:val="000000"/>
          <w:kern w:val="2"/>
          <w:sz w:val="24"/>
          <w:szCs w:val="24"/>
          <w:lang w:val="ru-RU" w:bidi="en-US"/>
        </w:rPr>
        <w:t>Согласно П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>равил</w:t>
      </w:r>
      <w:r>
        <w:rPr>
          <w:rFonts w:eastAsia="Lucida Sans Unicode"/>
          <w:color w:val="000000"/>
          <w:kern w:val="2"/>
          <w:sz w:val="24"/>
          <w:szCs w:val="24"/>
          <w:lang w:val="ru-RU" w:bidi="en-US"/>
        </w:rPr>
        <w:t>ам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 xml:space="preserve"> землепользования и застройки муниципального образования «</w:t>
      </w:r>
      <w:r>
        <w:rPr>
          <w:rFonts w:eastAsia="Lucida Sans Unicode"/>
          <w:color w:val="000000"/>
          <w:kern w:val="2"/>
          <w:sz w:val="24"/>
          <w:szCs w:val="24"/>
          <w:lang w:val="ru-RU" w:bidi="en-US"/>
        </w:rPr>
        <w:t>Шелковская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 xml:space="preserve"> волость» Великолукского района Псковской области,  </w:t>
      </w:r>
      <w:r>
        <w:rPr>
          <w:rFonts w:eastAsia="Lucida Sans Unicode" w:cs="Times New Roman"/>
          <w:color w:val="000000"/>
          <w:kern w:val="2"/>
          <w:sz w:val="24"/>
          <w:szCs w:val="24"/>
          <w:lang w:val="x-none" w:bidi="en-US"/>
        </w:rPr>
        <w:t>утверждены</w:t>
      </w:r>
      <w:r>
        <w:rPr>
          <w:rFonts w:eastAsia="Lucida Sans Unicode" w:cs="Times New Roman"/>
          <w:color w:val="000000"/>
          <w:kern w:val="2"/>
          <w:sz w:val="24"/>
          <w:szCs w:val="24"/>
          <w:lang w:val="ru-RU" w:bidi="en-US"/>
        </w:rPr>
        <w:t>м</w:t>
      </w:r>
      <w:r>
        <w:rPr>
          <w:rFonts w:eastAsia="Lucida Sans Unicode" w:cs="Times New Roman"/>
          <w:color w:val="000000"/>
          <w:kern w:val="2"/>
          <w:sz w:val="24"/>
          <w:szCs w:val="24"/>
          <w:lang w:val="x-none" w:bidi="en-US"/>
        </w:rPr>
        <w:t xml:space="preserve"> </w:t>
      </w:r>
      <w:r>
        <w:rPr>
          <w:rFonts w:eastAsia="Lucida Sans Unicode" w:cs="Times New Roman"/>
          <w:b w:val="false"/>
          <w:bCs w:val="false"/>
          <w:color w:val="000000"/>
          <w:kern w:val="2"/>
          <w:sz w:val="24"/>
          <w:szCs w:val="24"/>
          <w:lang w:val="ru-RU" w:bidi="en-US"/>
        </w:rPr>
        <w:t>решением Собрания депутатов Великолукского района от  28.12.2015 № 237  (с изменениями от 13.10.2017 № 24, от 19.06.2018 № 75, от 05.09.2019 № 166, от 29.09.2021 № 298, от 23.12.2021 № 336, от 24.03.2022 № 350, от 16.08.2023 № 62),  в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>ышеуказанный земельный участок находится в</w:t>
      </w:r>
      <w:r>
        <w:rPr>
          <w:rFonts w:eastAsia="Lucida Sans Unicode"/>
          <w:caps w:val="false"/>
          <w:smallCaps w:val="false"/>
          <w:color w:val="000000"/>
          <w:spacing w:val="0"/>
          <w:kern w:val="2"/>
          <w:sz w:val="24"/>
          <w:szCs w:val="24"/>
          <w:lang w:val="x-none" w:bidi="en-US"/>
        </w:rPr>
        <w:t xml:space="preserve"> </w:t>
      </w:r>
      <w:r>
        <w:rPr>
          <w:rFonts w:eastAsia="Lucida Sans Unicode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x-none" w:bidi="en-US"/>
        </w:rPr>
        <w:t>территориальной зон</w:t>
      </w:r>
      <w:r>
        <w:rPr>
          <w:rFonts w:eastAsia="Lucida Sans Unicode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ru-RU" w:bidi="en-US"/>
        </w:rPr>
        <w:t>е</w:t>
      </w:r>
      <w:r>
        <w:rPr>
          <w:rFonts w:eastAsia="Lucida Sans Unicode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x-none" w:bidi="en-US"/>
        </w:rPr>
        <w:t xml:space="preserve"> застройки индивидуальными жилыми домами (Ж1).</w:t>
      </w:r>
      <w:r>
        <w:rPr>
          <w:rFonts w:eastAsia="Lucida Sans Unicode"/>
          <w:color w:val="000000"/>
          <w:kern w:val="2"/>
          <w:sz w:val="24"/>
          <w:szCs w:val="24"/>
          <w:lang w:val="x-none" w:bidi="en-US"/>
        </w:rPr>
        <w:t xml:space="preserve">   </w:t>
      </w:r>
      <w:r>
        <w:rPr>
          <w:rFonts w:eastAsia="Lucida Sans Unicode"/>
          <w:kern w:val="2"/>
          <w:sz w:val="24"/>
          <w:szCs w:val="24"/>
          <w:lang w:val="x-none" w:bidi="en-US"/>
        </w:rPr>
        <w:t xml:space="preserve">В соответствии с градостроительными регламентами </w:t>
      </w:r>
      <w:r>
        <w:rPr>
          <w:rFonts w:eastAsia="Lucida Sans Unicode"/>
          <w:kern w:val="2"/>
          <w:sz w:val="24"/>
          <w:szCs w:val="24"/>
          <w:lang w:bidi="en-US"/>
        </w:rPr>
        <w:t>вид разрешенного использования «для ведения личного подсобного хозяйства»</w:t>
      </w:r>
      <w:r>
        <w:rPr>
          <w:rFonts w:eastAsia="Lucida Sans Unicode"/>
          <w:kern w:val="2"/>
          <w:sz w:val="24"/>
          <w:szCs w:val="24"/>
          <w:lang w:val="x-none" w:bidi="en-US"/>
        </w:rPr>
        <w:t xml:space="preserve"> </w:t>
      </w:r>
      <w:r>
        <w:rPr>
          <w:rFonts w:eastAsia="Lucida Sans Unicode"/>
          <w:kern w:val="2"/>
          <w:sz w:val="24"/>
          <w:szCs w:val="24"/>
          <w:lang w:bidi="en-US"/>
        </w:rPr>
        <w:t>относится к основному</w:t>
      </w:r>
      <w:r>
        <w:rPr>
          <w:rFonts w:eastAsia="Lucida Sans Unicode"/>
          <w:kern w:val="2"/>
          <w:sz w:val="24"/>
          <w:szCs w:val="24"/>
          <w:lang w:val="x-none" w:bidi="en-US"/>
        </w:rPr>
        <w:t xml:space="preserve"> вид</w:t>
      </w:r>
      <w:r>
        <w:rPr>
          <w:rFonts w:eastAsia="Lucida Sans Unicode"/>
          <w:kern w:val="2"/>
          <w:sz w:val="24"/>
          <w:szCs w:val="24"/>
          <w:lang w:bidi="en-US"/>
        </w:rPr>
        <w:t>у</w:t>
      </w:r>
      <w:r>
        <w:rPr>
          <w:rFonts w:eastAsia="Lucida Sans Unicode"/>
          <w:kern w:val="2"/>
          <w:sz w:val="24"/>
          <w:szCs w:val="24"/>
          <w:lang w:val="x-none" w:bidi="en-US"/>
        </w:rPr>
        <w:t xml:space="preserve"> использования в указанной зоне.</w:t>
      </w:r>
      <w:r>
        <w:rPr>
          <w:rFonts w:eastAsia="Lucida Sans Unicode"/>
          <w:kern w:val="2"/>
          <w:sz w:val="24"/>
          <w:szCs w:val="24"/>
          <w:lang w:bidi="en-US"/>
        </w:rPr>
        <w:t xml:space="preserve"> </w:t>
      </w:r>
    </w:p>
    <w:p>
      <w:pPr>
        <w:pStyle w:val="Normal"/>
        <w:suppressAutoHyphens w:val="true"/>
        <w:ind w:hanging="0"/>
        <w:jc w:val="both"/>
        <w:textAlignment w:val="baseline"/>
        <w:rPr>
          <w:sz w:val="24"/>
          <w:szCs w:val="24"/>
        </w:rPr>
      </w:pPr>
      <w:r>
        <w:rPr>
          <w:rFonts w:eastAsia="Lucida Sans Unicode"/>
          <w:color w:val="000000"/>
          <w:kern w:val="2"/>
          <w:sz w:val="24"/>
          <w:szCs w:val="24"/>
          <w:lang w:bidi="en-US"/>
        </w:rPr>
        <w:tab/>
        <w:t xml:space="preserve">Размещение объекта капитального строительства в границах земельного участка необходимо выполнять в соответствии с постановлением Администрации Псковской области от 22.01.2013 № 18 «Об утверждении региональных нормативов градостроительного проектирования Псковской области», в соответствии с требованиями пожарной безопасности и градостроительными нормами. </w:t>
      </w:r>
    </w:p>
    <w:p>
      <w:pPr>
        <w:pStyle w:val="Normal"/>
        <w:widowControl w:val="false"/>
        <w:tabs>
          <w:tab w:val="clear" w:pos="708"/>
          <w:tab w:val="left" w:pos="450" w:leader="none"/>
          <w:tab w:val="left" w:pos="510" w:leader="none"/>
        </w:tabs>
        <w:suppressAutoHyphens w:val="true"/>
        <w:bidi w:val="0"/>
        <w:ind w:left="0" w:right="0" w:hanging="0"/>
        <w:jc w:val="both"/>
        <w:textAlignment w:val="baseline"/>
        <w:rPr>
          <w:sz w:val="24"/>
          <w:szCs w:val="24"/>
        </w:rPr>
      </w:pPr>
      <w:r>
        <w:rPr>
          <w:rFonts w:eastAsia="Lucida Sans Unicode" w:cs="Times New Roman"/>
          <w:color w:val="000000"/>
          <w:kern w:val="2"/>
          <w:sz w:val="24"/>
          <w:szCs w:val="24"/>
          <w:lang w:val="ru-RU" w:bidi="en-US"/>
        </w:rPr>
        <w:tab/>
        <w:t>В соответствии с Правилами землепользования и застройки при строительстве необходимо соблюдать следующие параметры разрешенного строительства объекта капитального строительства:</w:t>
      </w:r>
      <w:r>
        <w:rPr>
          <w:rFonts w:eastAsia="Times New Roman" w:cs="Times New Roman"/>
          <w:color w:val="000000"/>
          <w:kern w:val="2"/>
          <w:sz w:val="24"/>
          <w:szCs w:val="24"/>
          <w:lang w:val="ru-RU" w:bidi="en-US"/>
        </w:rPr>
        <w:t xml:space="preserve"> </w:t>
      </w:r>
      <w:r>
        <w:rPr>
          <w:rFonts w:eastAsia="Times New Roman" w:cs="Times New Roman"/>
          <w:b w:val="false"/>
          <w:bCs w:val="false"/>
          <w:color w:val="000000"/>
          <w:kern w:val="2"/>
          <w:sz w:val="24"/>
          <w:szCs w:val="24"/>
          <w:lang w:val="ru-RU" w:eastAsia="ru-RU" w:bidi="en-US"/>
        </w:rPr>
        <w:t xml:space="preserve"> минимальные отступы от красных линий улиц до стен жилого дома - 3 м; предельное количество этажей или предельная высота зданий, строений, сооружений: 1) максимальное количество этажей жилого дома - 2 этажа, 2) максимальное количество этажей хозяйственных построек - 2 этажа; максимальный процент застроенности территорий в границах земельного участка — 40%, плотность жилой застройки – 900 м</w:t>
      </w:r>
      <w:r>
        <w:rPr>
          <w:rFonts w:eastAsia="Times New Roman" w:cs="Times New Roman"/>
          <w:b w:val="false"/>
          <w:bCs w:val="false"/>
          <w:color w:val="000000"/>
          <w:kern w:val="2"/>
          <w:sz w:val="24"/>
          <w:szCs w:val="24"/>
          <w:vertAlign w:val="superscript"/>
          <w:lang w:val="ru-RU" w:eastAsia="ru-RU" w:bidi="en-US"/>
        </w:rPr>
        <w:t>2</w:t>
      </w:r>
      <w:r>
        <w:rPr>
          <w:rFonts w:eastAsia="Times New Roman" w:cs="Times New Roman"/>
          <w:b w:val="false"/>
          <w:bCs w:val="false"/>
          <w:color w:val="000000"/>
          <w:kern w:val="2"/>
          <w:sz w:val="24"/>
          <w:szCs w:val="24"/>
          <w:lang w:val="ru-RU" w:eastAsia="ru-RU" w:bidi="en-US"/>
        </w:rPr>
        <w:t>/га – для индивидуальной застройки; максимальная высота оград вдоль улиц – 1,5 м.; максимальная высота оград между соседними участками – 1,5 м (при условии устройства проветриваемого ограждения).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>
      <w:pPr>
        <w:pStyle w:val="Normal"/>
        <w:suppressAutoHyphens w:val="true"/>
        <w:spacing w:before="0" w:after="0"/>
        <w:ind w:firstLine="709"/>
        <w:contextualSpacing/>
        <w:jc w:val="both"/>
        <w:textAlignment w:val="baseline"/>
        <w:rPr>
          <w:sz w:val="24"/>
          <w:szCs w:val="24"/>
        </w:rPr>
      </w:pPr>
      <w:r>
        <w:rPr>
          <w:rFonts w:eastAsia="Lucida Sans Unicode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eastAsia="en-US" w:bidi="en-US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(к централизованной сети водоснабжения, к сетям газоснабжения и к сетям теплоснабжения) отсутствует.</w:t>
      </w:r>
    </w:p>
    <w:p>
      <w:pPr>
        <w:pStyle w:val="Normal"/>
        <w:suppressAutoHyphens w:val="true"/>
        <w:spacing w:lineRule="exact" w:line="278"/>
        <w:ind w:left="720" w:hanging="12"/>
        <w:jc w:val="both"/>
        <w:textAlignment w:val="baseline"/>
        <w:rPr>
          <w:rFonts w:eastAsia="Lucida Sans Unicode"/>
          <w:color w:val="000000"/>
          <w:kern w:val="2"/>
          <w:u w:val="single"/>
          <w:lang w:eastAsia="en-US" w:bidi="en-US"/>
        </w:rPr>
      </w:pPr>
      <w:r>
        <w:rPr>
          <w:rFonts w:eastAsia="Lucida Sans Unicode"/>
          <w:color w:val="000000"/>
          <w:kern w:val="2"/>
          <w:u w:val="single"/>
          <w:lang w:eastAsia="en-US" w:bidi="en-US"/>
        </w:rPr>
        <w:t>Обременения и ограничения в использовании земельного участка: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276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 Соблюдать при использовании Участка законодательство Российской Федерации и Псковской области, Правила благоустройства территории муниципального образования «Шелковская волость», утвержденные решением Собрания депутатов сельского поселения Шелковская волость» от 10.06.2021 года № 38, в части очистки, прокопки и уборки водосточных канав, лотков, труб, дренажей (в том числе проходящих через земельный участок, на прилегающих территориях),  предназначенных для отвода поверхностных и грунтовых вод, не допускать подтопления соседних участков, тротуаров, улиц и проездов, и другие нормативно-правовые акты муниципального образования «Шелковская волость» в сфере строительства, градостроительства и землепользования, экологические, санитарно-гигиенические, противопожа</w:t>
      </w:r>
      <w:r>
        <w:rPr>
          <w:rFonts w:eastAsia="Calibri"/>
          <w:sz w:val="24"/>
          <w:szCs w:val="24"/>
          <w:lang w:eastAsia="en-US"/>
        </w:rPr>
        <w:t>рные и иные правила, нормативы, а также осуществлять мероприятия по охране земель, соблюдать порядок пользования лесами, водными и другими природными объектами.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276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2. </w:t>
      </w:r>
      <w:r>
        <w:rPr>
          <w:rFonts w:eastAsia="Calibri"/>
          <w:sz w:val="24"/>
          <w:szCs w:val="24"/>
          <w:lang w:val="ru-RU" w:eastAsia="en-US"/>
        </w:rPr>
        <w:t>На  земельный участок с учетным номером части 60:02:0131201:777/1, площадью                   108 кв.м., установлены ограничения прав, предусмотренные статьей 56 Земельного кодекса Российской Федерации.  Срок действия: не установлен; реквизиты документа-основания: постановление "Об утверждении публичного сервитута" от 18.10.2023 № 1263 выдан: Администрация Великолукского района; Содержание ограничения (обременения): Публичный сервитут устанавливается с учетом необходимости обеспечения безопасной эксплуатации объекта электросетевого хозяйства: "ВЛ-0,4 кВ от КТП-2176 д.Баландино". Срок публичного сервитута: в соответствии с п.8 ст.39.43 ЗК РФ публичный сервитут считается установленным со дня внесения сведений о нем в Единый государственный реестр недвижимости, согласно Приказу Министерства энергетики Российской Федерации от 07.10.2021 г. № 1029 срок публичного сервитута составляет 49 лет. Обладатель публичного сервитута: Публичное акционерное общество "Россети Северо-Запад", ИНН 7802312751, ОГРН 1047855175785, почтовый адрес: 196247, город Санкт-Петербург, площадь Конституции, дом 3, литер А, помещение 16Н, адрес электронной почты: post@rosseti-sz.ru.; Реестровый номер границы: 60:02-6.1269; Вид объекта реестра границ: Зона с особыми условиями использования территории; Вид зоны по документу: Публичный сервитут объекта электросетевого хозяйства: ВЛ-0,4 кВ от КТП-2176 д.Баландино; Тип зоны: Зона публичного сервитута.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276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sz w:val="24"/>
          <w:szCs w:val="24"/>
          <w:lang w:val="ru-RU" w:eastAsia="en-US"/>
        </w:rPr>
        <w:t xml:space="preserve"> </w:t>
      </w:r>
      <w:r>
        <w:rPr>
          <w:rFonts w:eastAsia="Calibri"/>
          <w:sz w:val="24"/>
          <w:szCs w:val="24"/>
          <w:lang w:val="ru-RU" w:eastAsia="en-US"/>
        </w:rPr>
        <w:t xml:space="preserve">3. На  земельный участок с учетным номером части 60:02:0131201:777/2, площадью                   108 кв.м.,  установлены ограничения прав, предусмотренные статьей 56 Земельного кодекса Российской Федерации.  Срок действия: не установлен; реквизиты документа-основания: постановление Правительства РФ от 24.02.2009 № 160 выдан: Правительство Российской Федерации; Содержание ограничения (обременения): В соответствии с Правилами охраны электрических сетей, размещенных на з.у, утвержденными Постановлением Правительства РФ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№ 160 от 24 февраля 2009 г: П. 8. В охранных зонах запрещается осуществлять любые действия, которые могут нарушить безопасную работу объектов эл. хозяйства, в том числе привести к их повреждению или уничтожению, и (или) повлечь причинение вреда жизни, здоровью граждан и имуществу физ. или юр.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                 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эл-го хозяйства, а также проводить любые работы и возводить сооружения, которые могут препятствовать доступу к объектам эл-го хозяйства, без создания необходимых для такого доступа проходов и подъездов; в) находиться в пределах огороженной территории и помещениях распред. устройств и подстанций, открывать двери и люки распред. устройств и подстанций, производить переключения и подключения в эл-х сетях, разводить огонь в пределах охранных зон вводных и распред-х устройств, подстанций, воздушных линий электропередачи, а также в охранных зонах кабельных линий электропередачи; г) размещать свалки; д)производить работы ударными механизмами, сбрасывать тяжести массой свыше                5 тонн, производить сброс и слив едких и коррозионных веществ и горюче-смазочных материалов. П. 10. В пределах охранных зон без письменного решения о согласовании сетевых организаций юр. и физ. лицам запрещаются: а) строительство, кап. ремонт, реконструкция или снос зданий и сооружений; б) горные, взрывные, мелиоративные работы, в том числе связанные с временным затоплением земель; в) посадка и вырубка деревьев и кустарников;                                    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льда; 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 е) проезд машин и механизмов, имеющих общую высоту с грузом или без груза от поверхности дороги более 4,5 метра;                         ж) земляные работы на глубине более 0,3 метра, а также планировка грунта; з) полив с/х культур в случае, если высота струи воды может составить свыше 3 метров; и) полевые с/х работы с применением с/х машин и оборудования высотой более 4 метров или полевые с/х работы, связанные с вспашкой земли. П.11. В охранных зонах, установленных для объектов эл. хозяйства напряжением до 1000 вольт без письменного решения о согласовании сетевых организаций запрещается: 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з.у. и иные объекты недвижимости, расположенные в границах территории ведения гражданами садоводства или огородничества для собственных нужд, объекты жилищного строительства, в том числе индивидуального; б) складировать или размещать хранилища любых, в том числе горюче-смазочных, материалов; в)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тралами.; Реестровый номер границы: 60:02-6.1009; Вид объекта реестра границ: Зона с особыми условиями использования территории; Вид зоны по документу: Охранная зона объекта электросетевого хозяйства: ВЛ-0,4 кВ от КТП-2176 д.Баландино; Тип зоны: Охранная зона инженерных коммуникаций.  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276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4. Земельный участок не обременен</w:t>
      </w:r>
      <w:r>
        <w:rPr>
          <w:rFonts w:eastAsia="Calibri"/>
          <w:sz w:val="24"/>
          <w:szCs w:val="24"/>
          <w:lang w:val="ru-RU" w:eastAsia="en-US"/>
        </w:rPr>
        <w:t xml:space="preserve">  правами третьих лиц.</w:t>
      </w:r>
    </w:p>
    <w:p>
      <w:pPr>
        <w:pStyle w:val="Normal"/>
        <w:suppressAutoHyphens w:val="true"/>
        <w:ind w:firstLine="708"/>
        <w:jc w:val="both"/>
        <w:textAlignment w:val="baseline"/>
        <w:rPr/>
      </w:pPr>
      <w:r>
        <w:rPr>
          <w:b/>
          <w:u w:val="single"/>
        </w:rPr>
        <w:t>5.</w:t>
      </w:r>
      <w:r>
        <w:rPr>
          <w:u w:val="single"/>
        </w:rPr>
        <w:t xml:space="preserve"> </w:t>
      </w:r>
      <w:r>
        <w:rPr>
          <w:b/>
          <w:i/>
          <w:u w:val="single"/>
        </w:rPr>
        <w:t>Начальная цена предмета аукциона</w:t>
      </w:r>
      <w:r>
        <w:rPr>
          <w:b/>
          <w:i/>
        </w:rPr>
        <w:t>:</w:t>
      </w:r>
      <w:r>
        <w:rPr/>
        <w:t xml:space="preserve"> </w:t>
      </w:r>
    </w:p>
    <w:p>
      <w:pPr>
        <w:pStyle w:val="Normal"/>
        <w:suppressAutoHyphens w:val="true"/>
        <w:ind w:firstLine="708"/>
        <w:jc w:val="both"/>
        <w:textAlignment w:val="baseline"/>
        <w:rPr>
          <w:bCs/>
          <w:iCs/>
        </w:rPr>
      </w:pPr>
      <w:r>
        <w:rPr>
          <w:bCs/>
          <w:iCs/>
        </w:rPr>
        <w:t xml:space="preserve">начальная цена – </w:t>
      </w:r>
      <w:r>
        <w:rPr>
          <w:b/>
          <w:bCs/>
          <w:iCs/>
        </w:rPr>
        <w:t>4 443</w:t>
      </w:r>
      <w:r>
        <w:rPr>
          <w:bCs/>
          <w:iCs/>
        </w:rPr>
        <w:t xml:space="preserve"> (четыре тысячи четыреста сорок три) руб.</w:t>
      </w:r>
      <w:r>
        <w:rPr>
          <w:b/>
          <w:bCs/>
          <w:iCs/>
        </w:rPr>
        <w:t xml:space="preserve"> 08</w:t>
      </w:r>
      <w:r>
        <w:rPr>
          <w:bCs/>
          <w:iCs/>
        </w:rPr>
        <w:t xml:space="preserve"> коп.</w:t>
      </w:r>
    </w:p>
    <w:p>
      <w:pPr>
        <w:pStyle w:val="Normal"/>
        <w:suppressAutoHyphens w:val="true"/>
        <w:ind w:firstLine="708"/>
        <w:jc w:val="both"/>
        <w:textAlignment w:val="baseline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uppressAutoHyphens w:val="true"/>
        <w:ind w:firstLine="708"/>
        <w:jc w:val="both"/>
        <w:textAlignment w:val="baseline"/>
        <w:rPr/>
      </w:pPr>
      <w:r>
        <w:rPr>
          <w:b/>
          <w:u w:val="single"/>
        </w:rPr>
        <w:t>6.</w:t>
      </w:r>
      <w:r>
        <w:rPr>
          <w:u w:val="single"/>
        </w:rPr>
        <w:t xml:space="preserve"> </w:t>
      </w:r>
      <w:r>
        <w:rPr>
          <w:b/>
          <w:i/>
          <w:u w:val="single"/>
        </w:rPr>
        <w:t>Шаг аукциона</w:t>
      </w:r>
      <w:r>
        <w:rPr>
          <w:b/>
          <w:i/>
        </w:rPr>
        <w:t>:</w:t>
      </w:r>
      <w:r>
        <w:rPr/>
        <w:t xml:space="preserve"> </w:t>
      </w:r>
      <w:r>
        <w:rPr>
          <w:b/>
        </w:rPr>
        <w:t>133</w:t>
      </w:r>
      <w:r>
        <w:rPr/>
        <w:t xml:space="preserve"> (сто тридцать три) руб. 2</w:t>
      </w:r>
      <w:r>
        <w:rPr>
          <w:b/>
        </w:rPr>
        <w:t>9</w:t>
      </w:r>
      <w:r>
        <w:rPr/>
        <w:t xml:space="preserve"> коп.</w:t>
      </w:r>
    </w:p>
    <w:p>
      <w:pPr>
        <w:pStyle w:val="Normal"/>
        <w:suppressAutoHyphens w:val="true"/>
        <w:ind w:firstLine="708"/>
        <w:jc w:val="both"/>
        <w:textAlignment w:val="baseline"/>
        <w:rPr/>
      </w:pPr>
      <w:r>
        <w:rPr/>
      </w:r>
    </w:p>
    <w:p>
      <w:pPr>
        <w:pStyle w:val="Normal"/>
        <w:suppressAutoHyphens w:val="true"/>
        <w:ind w:firstLine="708"/>
        <w:jc w:val="both"/>
        <w:textAlignment w:val="baseline"/>
        <w:rPr>
          <w:rFonts w:cs="Arial CYR"/>
          <w:b/>
          <w:b/>
          <w:bCs/>
          <w:i/>
          <w:i/>
          <w:color w:val="000000"/>
          <w:u w:val="single"/>
        </w:rPr>
      </w:pPr>
      <w:r>
        <w:rPr>
          <w:rFonts w:cs="Arial CYR"/>
          <w:b/>
          <w:bCs/>
          <w:color w:val="000000"/>
        </w:rPr>
        <w:t>7.</w:t>
      </w:r>
      <w:r>
        <w:rPr>
          <w:rFonts w:cs="Arial CYR"/>
          <w:bCs/>
          <w:color w:val="000000"/>
        </w:rPr>
        <w:t xml:space="preserve"> </w:t>
      </w:r>
      <w:r>
        <w:rPr>
          <w:rFonts w:cs="Arial CYR"/>
          <w:b/>
          <w:bCs/>
          <w:i/>
          <w:color w:val="000000"/>
          <w:u w:val="single"/>
        </w:rPr>
        <w:t>Порядок регистрации на электронной площадке и подачи заявки на участие в аукционе в электронной форме.</w:t>
      </w:r>
    </w:p>
    <w:p>
      <w:pPr>
        <w:pStyle w:val="Normal"/>
        <w:widowControl w:val="false"/>
        <w:ind w:firstLine="709"/>
        <w:jc w:val="both"/>
        <w:rPr>
          <w:rFonts w:cs="Arial CYR"/>
          <w:bCs/>
          <w:color w:val="000000"/>
        </w:rPr>
      </w:pPr>
      <w:r>
        <w:rPr>
          <w:rFonts w:cs="Arial CYR"/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>
      <w:pPr>
        <w:pStyle w:val="Normal"/>
        <w:widowControl w:val="false"/>
        <w:ind w:firstLine="709"/>
        <w:jc w:val="both"/>
        <w:rPr/>
      </w:pPr>
      <w:r>
        <w:rPr/>
        <w:t>Регистрация в ТС осуществляется с применением усиленной квалифицированной электронной подписи (далее – ЭП) (юридическими лицами и физическими лицами, в том числе являющимися индивидуальными предпринимателями).</w:t>
      </w:r>
    </w:p>
    <w:p>
      <w:pPr>
        <w:pStyle w:val="Normal"/>
        <w:widowControl w:val="false"/>
        <w:ind w:firstLine="709"/>
        <w:jc w:val="both"/>
        <w:rPr/>
      </w:pPr>
      <w:r>
        <w:rPr/>
        <w:t>Для регистрации в ТС пользователь в Личном кабинете выбирает форму заявления на регистрацию в ТС в зависимости от требуемых полномочий, указанных в пункте 2.1.2. настоящего Регламента, указывает (при необходимости) предусмотренные формой сведения и подписывает ЭП посредством штатного интерфейса ТС.</w:t>
      </w:r>
    </w:p>
    <w:p>
      <w:pPr>
        <w:pStyle w:val="Normal"/>
        <w:widowControl w:val="false"/>
        <w:ind w:firstLine="709"/>
        <w:jc w:val="both"/>
        <w:rPr>
          <w:rFonts w:cs="Arial CYR"/>
          <w:bCs/>
          <w:color w:val="000000"/>
        </w:rPr>
      </w:pPr>
      <w:r>
        <w:rPr/>
        <w:t>После регистрации в ТС Оператор открывает (создает) пользователю полный доступ к функционалу ТС в соответствии с выбранными полномочиями.</w:t>
      </w:r>
    </w:p>
    <w:p>
      <w:pPr>
        <w:pStyle w:val="Normal"/>
        <w:widowControl w:val="false"/>
        <w:ind w:firstLine="709"/>
        <w:jc w:val="both"/>
        <w:rPr>
          <w:rFonts w:cs="Arial CYR"/>
          <w:b/>
          <w:b/>
          <w:bCs/>
        </w:rPr>
      </w:pPr>
      <w:r>
        <w:rPr>
          <w:rFonts w:cs="Arial CYR"/>
          <w:bCs/>
        </w:rPr>
        <w:t xml:space="preserve">Регистрация на электронной </w:t>
      </w:r>
      <w:r>
        <w:rPr>
          <w:rFonts w:cs="Arial CYR"/>
          <w:bCs/>
          <w:color w:val="000000"/>
        </w:rPr>
        <w:t>площадке проводится в соответствии с Регламентом электронной площадки без взимания платы.</w:t>
      </w:r>
    </w:p>
    <w:p>
      <w:pPr>
        <w:pStyle w:val="Normal"/>
        <w:ind w:firstLine="708"/>
        <w:jc w:val="both"/>
        <w:rPr/>
      </w:pPr>
      <w:r>
        <w:rPr/>
        <w:t>Подача заявки на участие в торгах может осуществляться лично Претендентом в ТС, либо представителем Претендента, зарегистрированным в ТС, 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извещении.</w:t>
      </w:r>
    </w:p>
    <w:p>
      <w:pPr>
        <w:pStyle w:val="Normal"/>
        <w:ind w:firstLine="708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- копии документов, удостоверяющих личность заявителя (для граждан);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- документы, подтверждающие внесение задатка.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- в случае,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выданной и оформленной в соответствии с гражданским законодательством.</w:t>
      </w:r>
    </w:p>
    <w:p>
      <w:pPr>
        <w:pStyle w:val="Normal"/>
        <w:ind w:firstLine="708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заявителя,</w:t>
      </w:r>
      <w:r>
        <w:rPr/>
        <w:t xml:space="preserve"> </w:t>
      </w:r>
      <w:r>
        <w:rPr>
          <w:rFonts w:eastAsia="Calibri" w:eastAsiaTheme="minorHAnsi"/>
          <w:lang w:eastAsia="en-US"/>
        </w:rPr>
        <w:t>либо лица, имеющего право действовать от имени заявителя.</w:t>
      </w:r>
    </w:p>
    <w:p>
      <w:pPr>
        <w:pStyle w:val="Normal"/>
        <w:ind w:firstLine="708"/>
        <w:jc w:val="both"/>
        <w:rPr/>
      </w:pPr>
      <w:r>
        <w:rPr/>
        <w:t>Документы и сведения из регистрационных данных пользователя на УТП, актуальные на дату и время окончания приема заявок, направляются Оператором вместе с заявкой Организатору процедуры после окончания приема заявок.</w:t>
      </w:r>
    </w:p>
    <w:p>
      <w:pPr>
        <w:pStyle w:val="Normal"/>
        <w:ind w:firstLine="708"/>
        <w:jc w:val="both"/>
        <w:rPr/>
      </w:pPr>
      <w:r>
        <w:rPr/>
        <w:t>Претендент вправе подать одну заявку на участие в любой процедуре торгов, извещение о проведении которой размещено в ТС.</w:t>
      </w:r>
    </w:p>
    <w:p>
      <w:pPr>
        <w:pStyle w:val="Normal"/>
        <w:ind w:firstLine="708"/>
        <w:jc w:val="both"/>
        <w:rPr/>
      </w:pPr>
      <w:r>
        <w:rPr/>
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 </w:t>
      </w:r>
    </w:p>
    <w:p>
      <w:pPr>
        <w:pStyle w:val="Normal"/>
        <w:ind w:firstLine="708"/>
        <w:jc w:val="both"/>
        <w:rPr/>
      </w:pPr>
      <w:r>
        <w:rPr/>
        <w:t>Информация о количестве принятых заявок по каждому лоту в актуальном состоянии отображается в Личном кабинете Организатора процедуры.</w:t>
      </w:r>
    </w:p>
    <w:p>
      <w:pPr>
        <w:pStyle w:val="Normal"/>
        <w:ind w:firstLine="567"/>
        <w:jc w:val="both"/>
        <w:rPr/>
      </w:pPr>
      <w:r>
        <w:rPr/>
        <w:t>Заявка не может быть принята Оператором в случаях:</w:t>
      </w:r>
    </w:p>
    <w:p>
      <w:pPr>
        <w:pStyle w:val="Normal"/>
        <w:ind w:firstLine="567"/>
        <w:jc w:val="both"/>
        <w:rPr/>
      </w:pPr>
      <w:r>
        <w:rPr/>
        <w:t>а) отсутствия на лицевом счете Претендента достаточной суммы денежных средств в размере задатка;</w:t>
      </w:r>
    </w:p>
    <w:p>
      <w:pPr>
        <w:pStyle w:val="Normal"/>
        <w:ind w:firstLine="567"/>
        <w:jc w:val="both"/>
        <w:rPr/>
      </w:pPr>
      <w:r>
        <w:rPr/>
        <w:t>б) подачи Претендентом второй заявки на участие в отношении одного и того же лота при условии, что поданная ранее заявка таким Претендентом не отозвана, если иное не предусмотрено соответствующими положениями настоящего Регламента, регулирующими особенности проведения различных способов продажи имущества;</w:t>
      </w:r>
    </w:p>
    <w:p>
      <w:pPr>
        <w:pStyle w:val="Normal"/>
        <w:ind w:firstLine="567"/>
        <w:jc w:val="both"/>
        <w:rPr/>
      </w:pPr>
      <w:r>
        <w:rPr/>
        <w:t>в) подачи заявки по истечении установленного срока подачи заявок;</w:t>
      </w:r>
    </w:p>
    <w:p>
      <w:pPr>
        <w:pStyle w:val="Normal"/>
        <w:ind w:firstLine="567"/>
        <w:jc w:val="both"/>
        <w:rPr/>
      </w:pPr>
      <w:r>
        <w:rPr/>
        <w:t>г) некорректного заполнения формы заявки, в том числе незаполнения полей, являющихся обязательными для заполнения;</w:t>
      </w:r>
    </w:p>
    <w:p>
      <w:pPr>
        <w:pStyle w:val="Normal"/>
        <w:ind w:firstLine="567"/>
        <w:jc w:val="both"/>
        <w:rPr/>
      </w:pPr>
      <w:r>
        <w:rPr/>
        <w:t>д) в других случаях, предусмотренных Регламентом ТС, для отдельных способов торгов.</w:t>
      </w:r>
    </w:p>
    <w:p>
      <w:pPr>
        <w:pStyle w:val="Normal"/>
        <w:ind w:firstLine="567"/>
        <w:jc w:val="both"/>
        <w:rPr/>
      </w:pPr>
      <w:r>
        <w:rPr/>
        <w:t>В случае, если система не принимает заявку, Оператор уведомляет Претендента соответствующим системным сообщением о причине непринятия заявки.</w:t>
      </w:r>
    </w:p>
    <w:p>
      <w:pPr>
        <w:pStyle w:val="Normal"/>
        <w:ind w:firstLine="567"/>
        <w:jc w:val="both"/>
        <w:rPr/>
      </w:pPr>
      <w:r>
        <w:rPr/>
        <w:t>До окончания срока подачи заявок Претендент, подавший заявку, вправе изменить или отозвать ее.</w:t>
      </w:r>
    </w:p>
    <w:p>
      <w:pPr>
        <w:pStyle w:val="Normal"/>
        <w:ind w:firstLine="567"/>
        <w:jc w:val="both"/>
        <w:rPr/>
      </w:pPr>
      <w:r>
        <w:rPr/>
        <w:t>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>
      <w:pPr>
        <w:pStyle w:val="Normal"/>
        <w:ind w:firstLine="567"/>
        <w:jc w:val="both"/>
        <w:rPr/>
      </w:pPr>
      <w:r>
        <w:rPr/>
        <w:t>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</w:t>
      </w:r>
    </w:p>
    <w:p>
      <w:pPr>
        <w:pStyle w:val="Normal"/>
        <w:ind w:firstLine="567"/>
        <w:jc w:val="both"/>
        <w:rPr/>
      </w:pPr>
      <w:r>
        <w:rPr/>
        <w:t>Информация об отозванных заявках по каждому лоту в актуальном состоянии отображается в Личном кабинете Организатора процедуры.</w:t>
      </w:r>
    </w:p>
    <w:p>
      <w:pPr>
        <w:pStyle w:val="Normal"/>
        <w:ind w:firstLine="567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 xml:space="preserve">Инструкция для участника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hyperlink r:id="rId2">
        <w:r>
          <w:rPr>
            <w:rFonts w:eastAsia="Calibri" w:eastAsiaTheme="minorHAnsi"/>
            <w:lang w:eastAsia="en-US"/>
          </w:rPr>
          <w:t>https://utp.sberbank-ast.ru/AP/Notice/652/Instructions</w:t>
        </w:r>
      </w:hyperlink>
      <w:r>
        <w:rPr>
          <w:rFonts w:eastAsia="Calibri" w:eastAsiaTheme="minorHAnsi"/>
          <w:lang w:eastAsia="en-US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/>
      </w:pPr>
      <w:r>
        <w:rPr>
          <w:rFonts w:eastAsia="Calibri"/>
        </w:rPr>
        <w:tab/>
      </w:r>
      <w:r>
        <w:rPr/>
        <w:t>Заявитель не допускается к участию в аукционе в следующих случаях: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1) непредставление необходимых для участия в аукционе документов или представление недостоверных сведений;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2) непоступление задатка на дату рассмотрения заявок на участие в аукционе;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Организатор торгов в день рассмотрения заявок и документов Заявителей подписывает протокол о признании Заявителей участниками, в котором приводится перечень принятых заявок (с указанием имен (наименований) Заявителей), перечень отозванных заявок, имена (наименования) Заявителей, признанных участниками, а также имена (наименования) Заявителей, которым было отказано в допуске к участию в аукционе, с указанием оснований такого отказа.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Заявитель приобретает статус участника аукциона в электронной форме с момента подписания протокола о признании Заявителей участниками аукциона в электронной форме.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/>
      </w:pPr>
      <w:r>
        <w:rPr/>
        <w:t>Согласно п. 3.2 ст. 39.13 ЗК РФ оператором электронной площадки может взиматься плата с победителя электронного аукциона или с иных лиц, с которыми в соответствии с п. 13, 14, 20 и 25 ст. 39.12 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участка. Электронной площадкой АО «Сбербанк-АСТ» не предусмотрено взимание такой платы, в соответствии с Тарифами торговой секции «Приватизация, аренда и продажа прав».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  <w:t xml:space="preserve">Адрес места приема заявки: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rFonts w:cs="Arial CYR"/>
          <w:bCs/>
        </w:rPr>
      </w:pPr>
      <w:r>
        <w:rPr>
          <w:rFonts w:cs="Arial CYR"/>
        </w:rPr>
        <w:t>универсальная торговая платформа АО «Сбербанк-АСТ», размещенная на сайте http://utp.sberbank-ast.ru в сети Интернет.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  <w:t xml:space="preserve">Дата начала приема заявок на участие в аукционе –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u w:val="single"/>
        </w:rPr>
      </w:pPr>
      <w:r>
        <w:rPr>
          <w:u w:val="single"/>
        </w:rPr>
        <w:t>09 апреля 2025 г. с 00 час. 00 мин.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  <w:t xml:space="preserve">Дата окончания приема заявок на участие в аукционе –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u w:val="single"/>
        </w:rPr>
      </w:pPr>
      <w:r>
        <w:rPr>
          <w:u w:val="single"/>
        </w:rPr>
        <w:t>23 апреля 2025 г. в 00 час. 00 мин.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  <w:t xml:space="preserve">Рассмотрение заявок и признание претендентов участниками аукциона –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u w:val="single"/>
        </w:rPr>
      </w:pPr>
      <w:r>
        <w:rPr>
          <w:u w:val="single"/>
        </w:rPr>
        <w:t xml:space="preserve">24 апреля 2025 г.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firstLine="709"/>
        <w:jc w:val="both"/>
        <w:rPr>
          <w:color w:val="00B050"/>
        </w:rPr>
      </w:pPr>
      <w:r>
        <w:rPr>
          <w:b/>
          <w:u w:val="single"/>
        </w:rPr>
        <w:t>8.</w:t>
      </w:r>
      <w:r>
        <w:rPr>
          <w:u w:val="single"/>
        </w:rPr>
        <w:t xml:space="preserve"> </w:t>
      </w:r>
      <w:r>
        <w:rPr>
          <w:b/>
          <w:i/>
          <w:u w:val="single"/>
        </w:rPr>
        <w:t>Размер задатка</w:t>
      </w:r>
      <w:r>
        <w:rPr>
          <w:b/>
          <w:i/>
        </w:rPr>
        <w:t xml:space="preserve">: </w:t>
      </w:r>
      <w:r>
        <w:rPr>
          <w:b/>
          <w:bCs/>
          <w:u w:val="single"/>
        </w:rPr>
        <w:t>888</w:t>
      </w:r>
      <w:r>
        <w:rPr>
          <w:u w:val="single"/>
        </w:rPr>
        <w:t xml:space="preserve">  (восемьсот восемьдесят восемь) руб. </w:t>
      </w:r>
      <w:r>
        <w:rPr>
          <w:b/>
          <w:bCs/>
          <w:u w:val="single"/>
        </w:rPr>
        <w:t xml:space="preserve">62 </w:t>
      </w:r>
      <w:r>
        <w:rPr>
          <w:u w:val="single"/>
        </w:rPr>
        <w:t>коп.</w:t>
      </w:r>
      <w:r>
        <w:rPr>
          <w:color w:val="FF0000"/>
        </w:rPr>
        <w:t xml:space="preserve">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Задаток вносится претендентом в качестве обеспечения исполнения обязательств, принятых на себя претендентом в соответствии с информационным сообщением о продаже муниципального имущества, для участия в аукционе и в доказательство заключения в случае победы на аукционе договора купли-продажи, договора аренды.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color w:val="FF0000"/>
        </w:rPr>
      </w:pPr>
      <w:r>
        <w:rPr/>
        <w:t xml:space="preserve">Порядок зачисления и вывода (возврата) денежных средств с УТП АО «Сбербанк-АСТ» определены разделом 14 Регламента УТП АО «Сбербанк-АСТ» </w:t>
      </w:r>
      <w:r>
        <w:rPr>
          <w:color w:val="00B050"/>
        </w:rPr>
        <w:t>(</w:t>
      </w:r>
      <w:hyperlink r:id="rId3">
        <w:r>
          <w:rPr>
            <w:color w:val="00B050"/>
          </w:rPr>
          <w:t>http://utp.sberbank-ast.ru/Main/Notice/988/Reglament</w:t>
        </w:r>
      </w:hyperlink>
      <w:r>
        <w:rPr/>
        <w:t xml:space="preserve">). 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Претендент вносит в установленный настоящим информационным сообщением срок задаток на счет оператора электронной площадки: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ПОЛУЧАТЕЛЬ: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Наименование: АО «Сбербанк-АСТ»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ИНН: 7707308480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КПП: 770401001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Расчетный счет: 40702810300020038047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БАНК ПОЛУЧАТЕЛЯ: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Наименование банка: ПАО «СБЕРБАНК РОССИИ» Г. МОСКВА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 xml:space="preserve">БИК: 044525225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Корреспондентский счет: 30101810400000000225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В назначении платежа необходимо указать: «Перечисление денежных средств в качестве задатка (депозита) (ИНН плательщика), НДС не облагается.)» (в назначении платежа обязательно указывать: «Без НДС» либо «НДС не облагается»).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Денежные средства в размере суммы задатка, должны быть зачислены на лицевой счет претендента на УТП АО «Сбербанк-АСТ» до подачи заявки на участие в торгах и блокируются Оператором на лицевом счете Претендента на основании его поручения, сформированного посредством штатного интерфейса универсальной торговой платформы.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/>
      </w:pPr>
      <w:r>
        <w:rPr/>
        <w:t>Оператор электронной площадки программными средствами осуществляет блокирование денежных средств в сумме задатка в момент подачи заявки на участие (при их наличии на лицевом счете претендента на УТП АО «Сбербанк-АСТ»). Если денежных средств на лицевом счете претендента недостаточно для осуществления операции блокирования, то в день определения участников продавцу направляется информация о не поступлении оператору электронной площадки задатка от такого претендента, обязательства претендента по внесению задатка считаются неисполненными.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  <w:u w:val="single"/>
        </w:rPr>
        <w:t>Порядок возврата задатка</w:t>
      </w:r>
      <w:r>
        <w:rPr>
          <w:rFonts w:eastAsia="Calibri"/>
        </w:rPr>
        <w:t xml:space="preserve">: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а) участникам аукциона, за исключением его победителя, - по заявлению участника, поданному на </w:t>
      </w:r>
      <w:r>
        <w:rPr>
          <w:rFonts w:cs="Arial CYR"/>
          <w:bCs/>
          <w:color w:val="000000"/>
        </w:rPr>
        <w:t xml:space="preserve">универсальной торговой платформе </w:t>
      </w:r>
      <w:r>
        <w:rPr>
          <w:rFonts w:eastAsia="Calibri"/>
          <w:color w:val="000000"/>
        </w:rPr>
        <w:t>АО «Сбербанк-АСТ»</w:t>
      </w:r>
      <w:r>
        <w:rPr>
          <w:rFonts w:eastAsia="Calibri"/>
        </w:rPr>
        <w:t>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б) претендентам, не допущенным к участию в аукционе, - по заявлению претендента на </w:t>
      </w:r>
      <w:r>
        <w:rPr>
          <w:rFonts w:cs="Arial CYR"/>
          <w:bCs/>
          <w:color w:val="000000"/>
        </w:rPr>
        <w:t xml:space="preserve">универсальной торговой платформе </w:t>
      </w:r>
      <w:r>
        <w:rPr>
          <w:rFonts w:eastAsia="Calibri"/>
          <w:color w:val="000000"/>
        </w:rPr>
        <w:t>АО «Сбербанк-АСТ»;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709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по заявлению претендента </w:t>
      </w:r>
      <w:r>
        <w:rPr>
          <w:rFonts w:cs="Arial CYR"/>
          <w:bCs/>
          <w:color w:val="000000"/>
        </w:rPr>
        <w:t xml:space="preserve">универсальной торговой платформе </w:t>
      </w:r>
      <w:r>
        <w:rPr>
          <w:rFonts w:eastAsia="Calibri"/>
          <w:color w:val="000000"/>
        </w:rPr>
        <w:t>АО «Сбербанк-АСТ»</w:t>
      </w:r>
      <w:r>
        <w:rPr>
          <w:rFonts w:eastAsia="Calibri"/>
        </w:rPr>
        <w:t>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>
          <w:rFonts w:eastAsia="Calibri"/>
        </w:rPr>
      </w:pPr>
      <w:r>
        <w:rPr>
          <w:rFonts w:eastAsia="Calibri"/>
        </w:rPr>
        <w:tab/>
        <w:t xml:space="preserve">   Задаток, перечисленный победителем аукциона, засчитывается в сумму платежа по договору аренды земельного участка. При уклонении или отказе победителя аукциона от заключения в установленный срок договора аренды земельного участка задаток ему не возвращается, и он утрачивает право на заключение указанного договора.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>
          <w:rFonts w:eastAsia="Calibri"/>
        </w:rPr>
      </w:pPr>
      <w:r>
        <w:rPr>
          <w:rFonts w:eastAsia="Calibri"/>
          <w:b w:val="false"/>
          <w:bCs w:val="false"/>
        </w:rPr>
        <w:t>9. В соотве</w:t>
      </w:r>
      <w:r>
        <w:rPr>
          <w:rFonts w:eastAsia="Calibri"/>
        </w:rPr>
        <w:t>тствии с п. 13 ст. 39.13 ЗК РФ по результатам проведения электронного аукциона договор купли-продажи земельного участка,</w:t>
      </w:r>
      <w:r>
        <w:rPr/>
        <w:t xml:space="preserve"> </w:t>
      </w:r>
      <w:r>
        <w:rPr>
          <w:rFonts w:eastAsia="Calibri"/>
        </w:rPr>
        <w:t>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>
          <w:rFonts w:eastAsia="Calibri"/>
        </w:rPr>
      </w:pPr>
      <w:r>
        <w:rPr>
          <w:rFonts w:eastAsia="Calibri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>
          <w:rFonts w:eastAsia="Calibri"/>
        </w:rPr>
      </w:pPr>
      <w:r>
        <w:rPr>
          <w:rFonts w:eastAsia="Calibri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hanging="0"/>
        <w:jc w:val="both"/>
        <w:outlineLvl w:val="0"/>
        <w:rPr>
          <w:rFonts w:eastAsia="Calibri"/>
          <w:u w:val="single"/>
        </w:rPr>
      </w:pPr>
      <w:r>
        <w:rPr/>
      </w:r>
    </w:p>
    <w:sectPr>
      <w:type w:val="nextPage"/>
      <w:pgSz w:w="11906" w:h="16838"/>
      <w:pgMar w:left="1134" w:right="851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d4b2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sid w:val="00062468"/>
    <w:rPr>
      <w:color w:val="0000FF"/>
      <w:u w:val="single"/>
    </w:rPr>
  </w:style>
  <w:style w:type="character" w:styleId="ConsPlusNormal" w:customStyle="1">
    <w:name w:val="ConsPlusNormal Знак"/>
    <w:link w:val="ConsPlusNormal"/>
    <w:uiPriority w:val="99"/>
    <w:qFormat/>
    <w:locked/>
    <w:rsid w:val="00062468"/>
    <w:rPr>
      <w:rFonts w:ascii="Arial" w:hAnsi="Arial" w:eastAsia="Times New Roman" w:cs="Arial"/>
      <w:sz w:val="20"/>
      <w:szCs w:val="20"/>
      <w:lang w:eastAsia="ru-RU"/>
    </w:rPr>
  </w:style>
  <w:style w:type="character" w:styleId="Style15" w:customStyle="1">
    <w:name w:val="Абзац списка Знак"/>
    <w:link w:val="a6"/>
    <w:uiPriority w:val="99"/>
    <w:qFormat/>
    <w:locked/>
    <w:rsid w:val="00062468"/>
    <w:rPr>
      <w:rFonts w:ascii="Calibri" w:hAnsi="Calibri" w:eastAsia="Calibri"/>
    </w:rPr>
  </w:style>
  <w:style w:type="character" w:styleId="Style16">
    <w:name w:val="Посещённая гиперссылка"/>
    <w:basedOn w:val="DefaultParagraphFont"/>
    <w:uiPriority w:val="99"/>
    <w:semiHidden/>
    <w:unhideWhenUsed/>
    <w:rsid w:val="00027d17"/>
    <w:rPr>
      <w:color w:val="800080" w:themeColor="followedHyperlink"/>
      <w:u w:val="single"/>
    </w:rPr>
  </w:style>
  <w:style w:type="character" w:styleId="Style17" w:customStyle="1">
    <w:name w:val="Текст выноски Знак"/>
    <w:basedOn w:val="DefaultParagraphFont"/>
    <w:link w:val="a8"/>
    <w:uiPriority w:val="99"/>
    <w:semiHidden/>
    <w:qFormat/>
    <w:rsid w:val="004112fb"/>
    <w:rPr>
      <w:rFonts w:ascii="Segoe UI" w:hAnsi="Segoe UI" w:eastAsia="Times New Roman" w:cs="Segoe UI"/>
      <w:sz w:val="18"/>
      <w:szCs w:val="18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1" w:customStyle="1">
    <w:name w:val="ConsPlusNormal"/>
    <w:link w:val="ConsPlusNormal0"/>
    <w:uiPriority w:val="99"/>
    <w:qFormat/>
    <w:rsid w:val="00062468"/>
    <w:pPr>
      <w:widowControl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link w:val="a5"/>
    <w:uiPriority w:val="99"/>
    <w:qFormat/>
    <w:rsid w:val="00062468"/>
    <w:pPr>
      <w:spacing w:lineRule="auto" w:line="276" w:before="0" w:after="200"/>
      <w:ind w:left="720" w:hanging="0"/>
      <w:contextualSpacing/>
    </w:pPr>
    <w:rPr>
      <w:rFonts w:ascii="Calibri" w:hAnsi="Calibri" w:eastAsia="Calibri" w:cs="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4112f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6246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tp.sberbank-ast.ru/AP/Notice/652/Instructions" TargetMode="External"/><Relationship Id="rId3" Type="http://schemas.openxmlformats.org/officeDocument/2006/relationships/hyperlink" Target="http://utp.sberbank-ast.ru/Main/Notice/988/Reglament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31761-1C61-421D-8DE9-713E0FA0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Application>LibreOffice/6.4.4.2$Windows_X86_64 LibreOffice_project/3d775be2011f3886db32dfd395a6a6d1ca2630ff</Application>
  <Pages>8</Pages>
  <Words>3446</Words>
  <Characters>23658</Characters>
  <CharactersWithSpaces>27203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2022-08-24T14:12:00Z</dcterms:created>
  <dc:creator>User</dc:creator>
  <dc:description/>
  <dc:language>ru-RU</dc:language>
  <cp:lastModifiedBy/>
  <cp:lastPrinted>2025-04-07T16:11:09Z</cp:lastPrinted>
  <dcterms:modified xsi:type="dcterms:W3CDTF">2025-04-08T11:50:50Z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