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о проведении открытого аукциона </w:t>
      </w:r>
      <w:r>
        <w:rPr>
          <w:b/>
          <w:iCs/>
          <w:sz w:val="28"/>
          <w:szCs w:val="28"/>
        </w:rPr>
        <w:t xml:space="preserve">в электронной форме </w:t>
      </w:r>
      <w:r>
        <w:rPr>
          <w:b/>
          <w:sz w:val="28"/>
          <w:szCs w:val="28"/>
        </w:rPr>
        <w:t>на право заключения договора аренды земельного участка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b/>
          <w:iCs/>
        </w:rPr>
        <w:t xml:space="preserve">1. </w:t>
      </w:r>
      <w:r>
        <w:rPr>
          <w:iCs/>
        </w:rPr>
        <w:t xml:space="preserve"> </w:t>
      </w:r>
      <w:r>
        <w:rPr>
          <w:b/>
          <w:bCs/>
          <w:i/>
          <w:u w:val="single"/>
        </w:rPr>
        <w:t>О</w:t>
      </w:r>
      <w:r>
        <w:rPr>
          <w:b/>
          <w:i/>
          <w:u w:val="single"/>
        </w:rPr>
        <w:t>рганизатор аукциона</w:t>
      </w:r>
      <w:r>
        <w:rPr>
          <w:b/>
          <w:i/>
        </w:rPr>
        <w:t>:</w:t>
      </w:r>
      <w:r>
        <w:rPr/>
        <w:t xml:space="preserve"> </w:t>
      </w:r>
    </w:p>
    <w:p>
      <w:pPr>
        <w:pStyle w:val="Normal"/>
        <w:ind w:firstLine="708"/>
        <w:jc w:val="both"/>
        <w:rPr>
          <w:bCs/>
        </w:rPr>
      </w:pPr>
      <w:r>
        <w:rPr/>
        <w:t>Администрация Великолукского района: 182110, Псковская обл., г. Великие Луки, проспект Гагарина, д. 6, тел. 8 (81153) 5-77-34, 3-62-35.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3600" w:leader="none"/>
        </w:tabs>
        <w:jc w:val="both"/>
        <w:rPr>
          <w:rFonts w:cs="Arial CYR"/>
          <w:color w:val="FF0000"/>
        </w:rPr>
      </w:pPr>
      <w:r>
        <w:rPr>
          <w:rFonts w:cs="Arial CYR"/>
          <w:color w:val="000000"/>
        </w:rPr>
        <w:tab/>
      </w:r>
      <w:r>
        <w:rPr>
          <w:rFonts w:cs="Arial CYR"/>
          <w:b/>
          <w:color w:val="000000"/>
        </w:rPr>
        <w:t xml:space="preserve">  2.</w:t>
      </w:r>
      <w:r>
        <w:rPr>
          <w:rFonts w:cs="Arial CYR"/>
          <w:color w:val="000000"/>
        </w:rPr>
        <w:t xml:space="preserve"> </w:t>
      </w:r>
      <w:r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>
        <w:rPr>
          <w:rFonts w:cs="Arial CYR"/>
          <w:b/>
          <w:i/>
          <w:color w:val="000000"/>
        </w:rPr>
        <w:t>:</w:t>
      </w:r>
      <w:r>
        <w:rPr>
          <w:rFonts w:cs="Arial CYR"/>
          <w:color w:val="000000"/>
        </w:rPr>
        <w:t xml:space="preserve"> Постановление Администрации Великолукского района Псковской области от 19</w:t>
      </w:r>
      <w:r>
        <w:rPr>
          <w:rFonts w:cs="Arial CYR"/>
        </w:rPr>
        <w:t>.05.2025                       № 601</w:t>
      </w:r>
      <w:r>
        <w:rPr>
          <w:rFonts w:cs="Arial CYR"/>
          <w:color w:val="FF0000"/>
        </w:rPr>
        <w:t xml:space="preserve"> </w:t>
      </w:r>
      <w:r>
        <w:rPr>
          <w:rFonts w:cs="Arial CYR"/>
        </w:rPr>
        <w:t>«О проведении электронного аукциона на право заключения договора аренды земельного участка».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3600" w:leader="none"/>
        </w:tabs>
        <w:jc w:val="both"/>
        <w:rPr>
          <w:rFonts w:cs="Arial CYR"/>
        </w:rPr>
      </w:pPr>
      <w:r>
        <w:rPr>
          <w:rFonts w:cs="Arial CYR"/>
          <w:color w:val="FF0000"/>
        </w:rPr>
        <w:tab/>
      </w:r>
      <w:r>
        <w:rPr>
          <w:rFonts w:cs="Arial CYR"/>
          <w:b/>
          <w:color w:val="FF0000"/>
        </w:rPr>
        <w:t xml:space="preserve">  </w:t>
      </w:r>
      <w:r>
        <w:rPr>
          <w:rFonts w:cs="Arial CYR"/>
          <w:b/>
        </w:rPr>
        <w:t>3.</w:t>
      </w:r>
      <w:r>
        <w:rPr>
          <w:rFonts w:cs="Arial CYR"/>
        </w:rPr>
        <w:t xml:space="preserve"> </w:t>
      </w:r>
      <w:r>
        <w:rPr>
          <w:rFonts w:cs="Arial CYR"/>
          <w:b/>
          <w:i/>
          <w:u w:val="single"/>
        </w:rPr>
        <w:t>Место, дата, время и порядок проведения электронного аукциона</w:t>
      </w:r>
      <w:r>
        <w:rPr>
          <w:rFonts w:cs="Arial CYR"/>
          <w:b/>
          <w:i/>
        </w:rPr>
        <w:t>:</w:t>
      </w:r>
      <w:r>
        <w:rPr>
          <w:rFonts w:cs="Arial CYR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3600" w:leader="none"/>
        </w:tabs>
        <w:jc w:val="both"/>
        <w:rPr>
          <w:rFonts w:cs="Arial CYR"/>
        </w:rPr>
      </w:pPr>
      <w:r>
        <w:rPr>
          <w:rFonts w:cs="Arial CYR"/>
        </w:rPr>
        <w:tab/>
        <w:t>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3600" w:leader="none"/>
        </w:tabs>
        <w:jc w:val="both"/>
        <w:rPr>
          <w:rFonts w:cs="Arial CYR"/>
        </w:rPr>
      </w:pPr>
      <w:r>
        <w:rPr>
          <w:rFonts w:cs="Arial CYR"/>
        </w:rPr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3600" w:leader="none"/>
        </w:tabs>
        <w:jc w:val="both"/>
        <w:rPr>
          <w:rFonts w:cs="Arial CYR"/>
          <w:b/>
          <w:b/>
          <w:u w:val="single"/>
        </w:rPr>
      </w:pPr>
      <w:r>
        <w:rPr>
          <w:rFonts w:cs="Arial CYR"/>
        </w:rPr>
        <w:tab/>
      </w:r>
      <w:r>
        <w:rPr>
          <w:rFonts w:cs="Arial CYR"/>
          <w:b/>
          <w:u w:val="single"/>
        </w:rPr>
        <w:t>Аукцион в электронной форме состоится 18 июня 2025 г. в 09 час. 00 мин.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3600" w:leader="none"/>
        </w:tabs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3600" w:leader="none"/>
        </w:tabs>
        <w:jc w:val="center"/>
        <w:rPr>
          <w:u w:val="single"/>
        </w:rPr>
      </w:pPr>
      <w:r>
        <w:rPr>
          <w:u w:val="single"/>
        </w:rPr>
        <w:t>Порядок проведения аукциона в электронной форме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3600" w:leader="none"/>
        </w:tabs>
        <w:jc w:val="both"/>
        <w:rPr/>
      </w:pPr>
      <w:r>
        <w:rPr/>
        <w:tab/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>
      <w:pPr>
        <w:pStyle w:val="Normal"/>
        <w:ind w:firstLine="567"/>
        <w:jc w:val="both"/>
        <w:rPr/>
      </w:pPr>
      <w:r>
        <w:rPr/>
        <w:t>Подача предложений о цене (торговая сессия) проводится в день и время, указанные в извещении.</w:t>
      </w:r>
    </w:p>
    <w:p>
      <w:pPr>
        <w:pStyle w:val="Normal"/>
        <w:ind w:firstLine="567"/>
        <w:jc w:val="both"/>
        <w:rPr/>
      </w:pPr>
      <w:r>
        <w:rPr/>
        <w:t xml:space="preserve">Торговая сессия не проводится в случаях, если: </w:t>
      </w:r>
    </w:p>
    <w:p>
      <w:pPr>
        <w:pStyle w:val="Normal"/>
        <w:ind w:firstLine="567"/>
        <w:jc w:val="both"/>
        <w:rPr/>
      </w:pPr>
      <w:r>
        <w:rPr/>
        <w:t xml:space="preserve">- на участие в торгах не подано или не принято ни одной заявки, либо принята только одна заявка; </w:t>
      </w:r>
    </w:p>
    <w:p>
      <w:pPr>
        <w:pStyle w:val="Normal"/>
        <w:ind w:firstLine="567"/>
        <w:jc w:val="both"/>
        <w:rPr/>
      </w:pPr>
      <w:r>
        <w:rPr/>
        <w:t xml:space="preserve">- в результате рассмотрения заявок на участие в торгах все заявки отклонены; </w:t>
      </w:r>
    </w:p>
    <w:p>
      <w:pPr>
        <w:pStyle w:val="Normal"/>
        <w:ind w:firstLine="567"/>
        <w:jc w:val="both"/>
        <w:rPr/>
      </w:pPr>
      <w:r>
        <w:rPr/>
        <w:t xml:space="preserve">- в результате рассмотрения заявок на участие в торгах участником признан только один Претендент; </w:t>
      </w:r>
    </w:p>
    <w:p>
      <w:pPr>
        <w:pStyle w:val="Normal"/>
        <w:ind w:firstLine="567"/>
        <w:jc w:val="both"/>
        <w:rPr/>
      </w:pPr>
      <w:r>
        <w:rPr/>
        <w:t xml:space="preserve">- торги (лоты) отменены Организатором процедуры; </w:t>
      </w:r>
    </w:p>
    <w:p>
      <w:pPr>
        <w:pStyle w:val="Normal"/>
        <w:ind w:firstLine="567"/>
        <w:jc w:val="both"/>
        <w:rPr/>
      </w:pPr>
      <w:r>
        <w:rPr/>
        <w:t xml:space="preserve">- этап подачи предложений о цене по торгам (лоту) приостановлен. </w:t>
      </w:r>
    </w:p>
    <w:p>
      <w:pPr>
        <w:pStyle w:val="Normal"/>
        <w:ind w:firstLine="567"/>
        <w:jc w:val="both"/>
        <w:rPr/>
      </w:pPr>
      <w:r>
        <w:rPr/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>
      <w:pPr>
        <w:pStyle w:val="Normal"/>
        <w:ind w:firstLine="567"/>
        <w:jc w:val="both"/>
        <w:rPr/>
      </w:pPr>
      <w:r>
        <w:rPr/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>
        <w:rPr>
          <w:u w:val="single"/>
        </w:rPr>
        <w:t>10 минут.</w:t>
      </w:r>
    </w:p>
    <w:p>
      <w:pPr>
        <w:pStyle w:val="Normal"/>
        <w:ind w:firstLine="567"/>
        <w:jc w:val="both"/>
        <w:rPr/>
      </w:pPr>
      <w:r>
        <w:rPr/>
        <w:t xml:space="preserve">При подаче предложений о цене Оператор обеспечивает конфиденциальность информации об участниках. 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«Шаг аукциона» устанавливается Организатором процедуры в фиксированной сумме и не изменяется в течение всего времени подачи предложений о цене.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  <w:t>Время для подачи предложений о цене определяется в следующем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  <w:t>порядке: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время для подачи первого предложения о цене составляет 10 минут с момента начала аукциона;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каждого из таких предложений.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ТС завершается.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  <w:t xml:space="preserve">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Участника, в случаях: </w:t>
      </w:r>
    </w:p>
    <w:p>
      <w:pPr>
        <w:pStyle w:val="Normal"/>
        <w:ind w:firstLine="567"/>
        <w:jc w:val="both"/>
        <w:rPr/>
      </w:pPr>
      <w:r>
        <w:rPr/>
        <w:t xml:space="preserve">- предложение о цене подано до начала или по истечении установленного времени для подачи предложений о цене; </w:t>
      </w:r>
    </w:p>
    <w:p>
      <w:pPr>
        <w:pStyle w:val="Normal"/>
        <w:ind w:firstLine="567"/>
        <w:jc w:val="both"/>
        <w:rPr/>
      </w:pPr>
      <w:r>
        <w:rPr/>
        <w:t xml:space="preserve">- представленное предложение о цене ниже начальной цены; </w:t>
      </w:r>
    </w:p>
    <w:p>
      <w:pPr>
        <w:pStyle w:val="Normal"/>
        <w:ind w:firstLine="567"/>
        <w:jc w:val="both"/>
        <w:rPr/>
      </w:pPr>
      <w:r>
        <w:rPr/>
        <w:t xml:space="preserve">- представленное предложение о цене равно нулю; </w:t>
      </w:r>
    </w:p>
    <w:p>
      <w:pPr>
        <w:pStyle w:val="Normal"/>
        <w:ind w:firstLine="567"/>
        <w:jc w:val="both"/>
        <w:rPr/>
      </w:pPr>
      <w:r>
        <w:rPr/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>
      <w:pPr>
        <w:pStyle w:val="Normal"/>
        <w:ind w:firstLine="567"/>
        <w:jc w:val="both"/>
        <w:rPr/>
      </w:pPr>
      <w:r>
        <w:rPr/>
        <w:t xml:space="preserve">- представленное Участником предложение о цене меньше ранее представленных предложений; </w:t>
      </w:r>
    </w:p>
    <w:p>
      <w:pPr>
        <w:pStyle w:val="Normal"/>
        <w:ind w:firstLine="567"/>
        <w:jc w:val="both"/>
        <w:rPr>
          <w:color w:val="000000"/>
        </w:rPr>
      </w:pPr>
      <w:r>
        <w:rPr/>
        <w:t>- представленное Участником предложение о цене является лучшим текущим предложением о цене</w:t>
      </w:r>
      <w:r>
        <w:rPr>
          <w:color w:val="000000"/>
        </w:rPr>
        <w:t>, а также с учетом условий хода торговой сессии, установленных в извещении.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  <w:t>Победителем аукциона признается участник, предложивший ниболее высокую цену предмета аукциона.</w:t>
      </w:r>
    </w:p>
    <w:p>
      <w:pPr>
        <w:pStyle w:val="Normal"/>
        <w:ind w:firstLine="567"/>
        <w:jc w:val="both"/>
        <w:rPr/>
      </w:pPr>
      <w:r>
        <w:rPr/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>
      <w:pPr>
        <w:pStyle w:val="Normal"/>
        <w:ind w:firstLine="567"/>
        <w:jc w:val="both"/>
        <w:rPr>
          <w:color w:val="000000"/>
        </w:rPr>
      </w:pPr>
      <w:r>
        <w:rPr/>
        <w:t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сессии.</w:t>
      </w:r>
    </w:p>
    <w:p>
      <w:pPr>
        <w:pStyle w:val="Normal"/>
        <w:ind w:firstLine="567"/>
        <w:jc w:val="both"/>
        <w:rPr/>
      </w:pPr>
      <w:r>
        <w:rPr/>
        <w:t xml:space="preserve">Подведение итогов торгов: </w:t>
      </w:r>
    </w:p>
    <w:p>
      <w:pPr>
        <w:pStyle w:val="Normal"/>
        <w:ind w:firstLine="567"/>
        <w:jc w:val="both"/>
        <w:rPr/>
      </w:pPr>
      <w:r>
        <w:rPr/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  <w:t>- направляет победителю аукциона или единственному участнику аукциона уведомление с протоколом об итогах;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победителя аукциона или единственного участника аукциона;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  <w:t>- размещает в открытой части ТС протокол об итогах.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  <w:t>Организатор процедуры посредством штатного интерфейса ТС формирует поручение Оператору о перечислении задатка победителя аукциона, единственного участника.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  <w:t>Заключение договора в электронной форме осуществляется сторонами в установленный срок посредством штатного интерфейса ТС либо ГИС Торги.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3600" w:leader="none"/>
        </w:tabs>
        <w:ind w:firstLine="567"/>
        <w:jc w:val="both"/>
        <w:rPr>
          <w:rFonts w:cs="Arial CYR"/>
          <w:b w:val="false"/>
          <w:b w:val="false"/>
          <w:bCs w:val="false"/>
          <w:u w:val="none"/>
        </w:rPr>
      </w:pPr>
      <w:r>
        <w:rPr>
          <w:rFonts w:cs="Arial CYR"/>
          <w:b w:val="false"/>
          <w:bCs w:val="false"/>
          <w:color w:val="000000"/>
          <w:u w:val="none"/>
        </w:rPr>
        <w:t>Организатор процедуры посредством штатного интерфейса ТС в случае необходимости формирует сведения о заключении договора и/или протокол об уклонении от заключения договора.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ind w:firstLine="567"/>
        <w:rPr/>
      </w:pPr>
      <w:r>
        <w:rPr>
          <w:b/>
        </w:rPr>
        <w:t>4.</w:t>
      </w:r>
      <w:r>
        <w:rPr/>
        <w:t xml:space="preserve"> </w:t>
      </w:r>
      <w:r>
        <w:rPr>
          <w:b/>
          <w:i/>
          <w:u w:val="single"/>
        </w:rPr>
        <w:t>Предмет аукциона</w:t>
      </w:r>
      <w:r>
        <w:rPr>
          <w:b/>
          <w:i/>
        </w:rPr>
        <w:t>:</w:t>
      </w:r>
    </w:p>
    <w:p>
      <w:pPr>
        <w:pStyle w:val="Normal"/>
        <w:jc w:val="both"/>
        <w:rPr/>
      </w:pPr>
      <w:r>
        <w:rPr/>
        <w:t>Право заключения договора аренды земельного участка.</w:t>
      </w:r>
    </w:p>
    <w:p>
      <w:pPr>
        <w:pStyle w:val="Normal"/>
        <w:jc w:val="both"/>
        <w:rPr/>
      </w:pPr>
      <w:r>
        <w:rPr/>
        <w:t>Срок аренды земельного участка: 10</w:t>
      </w:r>
      <w:r>
        <w:rPr>
          <w:u w:val="single"/>
        </w:rPr>
        <w:t xml:space="preserve"> (десять) лет</w:t>
      </w:r>
      <w:r>
        <w:rPr/>
        <w:t>.</w:t>
      </w:r>
    </w:p>
    <w:p>
      <w:pPr>
        <w:pStyle w:val="Normal"/>
        <w:jc w:val="both"/>
        <w:rPr/>
      </w:pPr>
      <w:r>
        <w:rPr>
          <w:u w:val="single"/>
        </w:rPr>
        <w:t>Лот 1.</w:t>
      </w:r>
      <w:r>
        <w:rPr/>
        <w:t xml:space="preserve"> Земельный участок.</w:t>
      </w:r>
    </w:p>
    <w:p>
      <w:pPr>
        <w:pStyle w:val="Normal"/>
        <w:jc w:val="both"/>
        <w:rPr/>
      </w:pPr>
      <w:r>
        <w:rPr/>
        <w:t>Категория земель: земли населенных пунктов</w:t>
      </w:r>
    </w:p>
    <w:p>
      <w:pPr>
        <w:pStyle w:val="Normal"/>
        <w:jc w:val="both"/>
        <w:rPr/>
      </w:pPr>
      <w:r>
        <w:rPr/>
        <w:t xml:space="preserve">Кадастровый номер: </w:t>
      </w:r>
      <w:r>
        <w:rPr>
          <w:b/>
          <w:bCs/>
        </w:rPr>
        <w:t>60:02:0051501:160</w:t>
      </w:r>
      <w:r>
        <w:rPr/>
        <w:t>.</w:t>
      </w:r>
    </w:p>
    <w:p>
      <w:pPr>
        <w:pStyle w:val="Normal"/>
        <w:jc w:val="both"/>
        <w:rPr/>
      </w:pPr>
      <w:r>
        <w:rPr/>
        <w:t>Площадь 468 кв.м.</w:t>
      </w:r>
    </w:p>
    <w:p>
      <w:pPr>
        <w:pStyle w:val="Normal"/>
        <w:jc w:val="both"/>
        <w:rPr/>
      </w:pPr>
      <w:r>
        <w:rPr/>
        <w:t>Вид разрешенного использования: магазины.</w:t>
      </w:r>
    </w:p>
    <w:p>
      <w:pPr>
        <w:pStyle w:val="Normal"/>
        <w:jc w:val="both"/>
        <w:rPr/>
      </w:pPr>
      <w:r>
        <w:rPr/>
        <w:t>Местоположение: Российская Федерация, Псковская область, муниципальный район Великолукский, сельское поселение «Лычевская волость». д. Дубрава-2.</w:t>
      </w:r>
    </w:p>
    <w:p>
      <w:pPr>
        <w:pStyle w:val="Normal"/>
        <w:jc w:val="both"/>
        <w:rPr/>
      </w:pPr>
      <w:r>
        <w:rPr/>
        <w:t>Границы земельного участка: установлены в соответствии с действующим законодательством.</w:t>
      </w:r>
    </w:p>
    <w:p>
      <w:pPr>
        <w:pStyle w:val="Normal"/>
        <w:jc w:val="both"/>
        <w:rPr/>
      </w:pPr>
      <w:r>
        <w:rPr/>
        <w:t>Сведения о правах: государственная собственность на земельный участок не разграничена.</w:t>
      </w:r>
    </w:p>
    <w:p>
      <w:pPr>
        <w:pStyle w:val="Normal"/>
        <w:suppressAutoHyphens w:val="true"/>
        <w:ind w:firstLine="708"/>
        <w:jc w:val="both"/>
        <w:textAlignment w:val="baseline"/>
        <w:rPr>
          <w:rFonts w:eastAsia="Lucida Sans Unicode"/>
          <w:kern w:val="2"/>
          <w:lang w:bidi="en-US"/>
        </w:rPr>
      </w:pPr>
      <w:r>
        <w:rPr>
          <w:rFonts w:eastAsia="Lucida Sans Unicode"/>
          <w:color w:val="000000"/>
          <w:kern w:val="2"/>
          <w:lang w:val="x-none" w:bidi="en-US"/>
        </w:rPr>
        <w:t xml:space="preserve">Согласно Правилам землепользования и застройки муниципального образования </w:t>
      </w:r>
      <w:r>
        <w:rPr>
          <w:rFonts w:eastAsia="Lucida Sans Unicode"/>
          <w:color w:val="000000"/>
          <w:kern w:val="2"/>
          <w:sz w:val="24"/>
          <w:szCs w:val="24"/>
          <w:lang w:val="x-none" w:bidi="en-US"/>
        </w:rPr>
        <w:t>«</w:t>
      </w:r>
      <w:r>
        <w:rPr>
          <w:rFonts w:eastAsia="Lucida Sans Unicode"/>
          <w:color w:val="000000"/>
          <w:kern w:val="2"/>
          <w:sz w:val="24"/>
          <w:szCs w:val="24"/>
          <w:lang w:val="ru-RU" w:bidi="en-US"/>
        </w:rPr>
        <w:t>Лычевская волость</w:t>
      </w:r>
      <w:r>
        <w:rPr>
          <w:rFonts w:eastAsia="Lucida Sans Unicode"/>
          <w:color w:val="000000"/>
          <w:kern w:val="2"/>
          <w:sz w:val="24"/>
          <w:szCs w:val="24"/>
          <w:lang w:val="x-none" w:bidi="en-US"/>
        </w:rPr>
        <w:t xml:space="preserve">» </w:t>
      </w:r>
      <w:r>
        <w:rPr>
          <w:rFonts w:eastAsia="Lucida Sans Unicode"/>
          <w:color w:val="000000"/>
          <w:kern w:val="2"/>
          <w:sz w:val="24"/>
          <w:szCs w:val="24"/>
          <w:lang w:val="ru-RU" w:bidi="en-US"/>
        </w:rPr>
        <w:t>Великолукского района Псковской области</w:t>
      </w:r>
      <w:r>
        <w:rPr>
          <w:rFonts w:eastAsia="Lucida Sans Unicode"/>
          <w:color w:val="000000"/>
          <w:kern w:val="2"/>
          <w:sz w:val="24"/>
          <w:szCs w:val="24"/>
          <w:lang w:val="x-none" w:bidi="en-US"/>
        </w:rPr>
        <w:t xml:space="preserve">, утвержденным решением </w:t>
      </w:r>
      <w:r>
        <w:rPr>
          <w:rFonts w:eastAsia="Lucida Sans Unicode"/>
          <w:color w:val="000000"/>
          <w:kern w:val="2"/>
          <w:sz w:val="24"/>
          <w:szCs w:val="24"/>
          <w:lang w:val="ru-RU" w:bidi="en-US"/>
        </w:rPr>
        <w:t xml:space="preserve">Собрания депутатов </w:t>
      </w:r>
      <w:r>
        <w:rPr>
          <w:rFonts w:eastAsia="Lucida Sans Unicode"/>
          <w:color w:val="000000"/>
          <w:kern w:val="2"/>
          <w:sz w:val="24"/>
          <w:szCs w:val="24"/>
          <w:lang w:val="x-none" w:bidi="en-US"/>
        </w:rPr>
        <w:t>Великолукско</w:t>
      </w:r>
      <w:r>
        <w:rPr>
          <w:rFonts w:eastAsia="Lucida Sans Unicode"/>
          <w:color w:val="000000"/>
          <w:kern w:val="2"/>
          <w:sz w:val="24"/>
          <w:szCs w:val="24"/>
          <w:lang w:val="ru-RU" w:bidi="en-US"/>
        </w:rPr>
        <w:t>го района Псковской области от 24.03.2022 г. № 349</w:t>
      </w:r>
      <w:r>
        <w:rPr>
          <w:rFonts w:eastAsia="Lucida Sans Unicode"/>
          <w:color w:val="000000"/>
          <w:kern w:val="2"/>
          <w:sz w:val="24"/>
          <w:szCs w:val="24"/>
          <w:lang w:val="x-none" w:bidi="en-US"/>
        </w:rPr>
        <w:t>, вышеуказанный земельный участок находится в</w:t>
      </w:r>
      <w:r>
        <w:rPr>
          <w:rFonts w:eastAsia="Lucida Sans Unicode"/>
          <w:color w:val="000000"/>
          <w:kern w:val="2"/>
          <w:sz w:val="24"/>
          <w:szCs w:val="24"/>
          <w:lang w:val="ru-RU" w:bidi="en-US"/>
        </w:rPr>
        <w:t xml:space="preserve"> территориальной зоне </w:t>
      </w:r>
      <w:r>
        <w:rPr>
          <w:rFonts w:eastAsia="Times New Roman"/>
          <w:color w:val="000000"/>
          <w:kern w:val="2"/>
          <w:sz w:val="24"/>
          <w:szCs w:val="24"/>
          <w:lang w:val="x-none" w:eastAsia="ru-RU" w:bidi="en-US"/>
        </w:rPr>
        <w:t>застройки</w:t>
      </w:r>
      <w:r>
        <w:rPr>
          <w:rFonts w:eastAsia="Times New Roman"/>
          <w:color w:val="000000"/>
          <w:kern w:val="2"/>
          <w:sz w:val="24"/>
          <w:szCs w:val="24"/>
          <w:lang w:val="ru-RU" w:eastAsia="ru-RU" w:bidi="en-US"/>
        </w:rPr>
        <w:t xml:space="preserve"> индивидуальными </w:t>
      </w:r>
      <w:r>
        <w:rPr>
          <w:rFonts w:eastAsia="Times New Roman"/>
          <w:color w:val="000000"/>
          <w:kern w:val="2"/>
          <w:sz w:val="24"/>
          <w:szCs w:val="24"/>
          <w:lang w:val="x-none" w:eastAsia="ru-RU" w:bidi="en-US"/>
        </w:rPr>
        <w:t>жилыми домами</w:t>
      </w:r>
      <w:r>
        <w:rPr>
          <w:rFonts w:eastAsia="Lucida Sans Unicode"/>
          <w:color w:val="000000"/>
          <w:kern w:val="2"/>
          <w:sz w:val="24"/>
          <w:szCs w:val="24"/>
          <w:lang w:val="x-none" w:bidi="en-US"/>
        </w:rPr>
        <w:t xml:space="preserve"> (</w:t>
      </w:r>
      <w:r>
        <w:rPr>
          <w:rFonts w:eastAsia="Lucida Sans Unicode"/>
          <w:color w:val="000000"/>
          <w:kern w:val="2"/>
          <w:sz w:val="24"/>
          <w:szCs w:val="24"/>
          <w:lang w:bidi="en-US"/>
        </w:rPr>
        <w:t>Ж-1)</w:t>
      </w:r>
      <w:r>
        <w:rPr>
          <w:rFonts w:eastAsia="Lucida Sans Unicode"/>
          <w:color w:val="000000"/>
          <w:kern w:val="2"/>
          <w:sz w:val="24"/>
          <w:szCs w:val="24"/>
          <w:lang w:val="x-none" w:bidi="en-US"/>
        </w:rPr>
        <w:t xml:space="preserve">. </w:t>
      </w:r>
      <w:r>
        <w:rPr>
          <w:rFonts w:eastAsia="Lucida Sans Unicode"/>
          <w:kern w:val="2"/>
          <w:sz w:val="24"/>
          <w:szCs w:val="24"/>
          <w:lang w:val="x-none" w:bidi="en-US"/>
        </w:rPr>
        <w:t xml:space="preserve">В соответствии с градостроительными регламентами </w:t>
      </w:r>
      <w:r>
        <w:rPr>
          <w:rFonts w:eastAsia="Lucida Sans Unicode"/>
          <w:kern w:val="2"/>
          <w:sz w:val="24"/>
          <w:szCs w:val="24"/>
          <w:lang w:bidi="en-US"/>
        </w:rPr>
        <w:t>«магазины</w:t>
      </w:r>
      <w:r>
        <w:rPr>
          <w:rFonts w:eastAsia="Lucida Sans Unicode"/>
          <w:kern w:val="2"/>
          <w:sz w:val="24"/>
          <w:szCs w:val="24"/>
          <w:lang w:val="x-none" w:bidi="en-US"/>
        </w:rPr>
        <w:t xml:space="preserve">» </w:t>
      </w:r>
      <w:r>
        <w:rPr>
          <w:rFonts w:eastAsia="Lucida Sans Unicode"/>
          <w:color w:val="000000"/>
          <w:kern w:val="2"/>
          <w:sz w:val="24"/>
          <w:szCs w:val="24"/>
          <w:lang w:val="x-none" w:bidi="en-US"/>
        </w:rPr>
        <w:t xml:space="preserve">- относятся к основным видам разрешенного использования при условии, что общая площадь объектов капитального строительства на соответствующих земельных участках не превышает 500 квадратных метров. В случае если общая площадь объектов капитального строительства на соответствующих земельных участках превышает 500 квадратных метров, то объекты указанных видов использования относятся к условно разрешенным видам использования </w:t>
      </w:r>
      <w:r>
        <w:rPr>
          <w:rFonts w:eastAsia="Lucida Sans Unicode"/>
          <w:kern w:val="2"/>
          <w:sz w:val="24"/>
          <w:szCs w:val="24"/>
          <w:lang w:val="x-none" w:bidi="en-US"/>
        </w:rPr>
        <w:t xml:space="preserve"> в указанной зоне.</w:t>
      </w:r>
      <w:r>
        <w:rPr>
          <w:rFonts w:eastAsia="Lucida Sans Unicode"/>
          <w:kern w:val="2"/>
          <w:sz w:val="24"/>
          <w:szCs w:val="24"/>
          <w:lang w:bidi="en-US"/>
        </w:rPr>
        <w:t xml:space="preserve"> </w:t>
      </w:r>
    </w:p>
    <w:p>
      <w:pPr>
        <w:pStyle w:val="Normal"/>
        <w:suppressAutoHyphens w:val="true"/>
        <w:ind w:firstLine="708"/>
        <w:jc w:val="both"/>
        <w:textAlignment w:val="baseline"/>
        <w:rPr>
          <w:rFonts w:eastAsia="Lucida Sans Unicode"/>
          <w:color w:val="000000"/>
          <w:kern w:val="2"/>
          <w:lang w:bidi="en-US"/>
        </w:rPr>
      </w:pPr>
      <w:r>
        <w:rPr>
          <w:rFonts w:eastAsia="Lucida Sans Unicode"/>
          <w:color w:val="000000"/>
          <w:kern w:val="2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«Об утверждении региональных нормативов градостроительного проектирования Псковской области», в соответствии с требованиями пожарной безопасности и градостроительными нормами. </w:t>
      </w:r>
    </w:p>
    <w:p>
      <w:pPr>
        <w:pStyle w:val="Normal"/>
        <w:suppressAutoHyphens w:val="true"/>
        <w:ind w:firstLine="708"/>
        <w:jc w:val="both"/>
        <w:textAlignment w:val="baseline"/>
        <w:rPr/>
      </w:pPr>
      <w:r>
        <w:rPr>
          <w:rFonts w:eastAsia="Lucida Sans Unicode"/>
          <w:color w:val="000000"/>
          <w:kern w:val="2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>
      <w:pPr>
        <w:pStyle w:val="Normal"/>
        <w:suppressAutoHyphens w:val="true"/>
        <w:ind w:firstLine="708"/>
        <w:jc w:val="both"/>
        <w:textAlignment w:val="baseline"/>
        <w:rPr/>
      </w:pPr>
      <w:r>
        <w:rPr>
          <w:rFonts w:eastAsia="Lucida Sans Unicode"/>
          <w:color w:val="000000"/>
          <w:kern w:val="2"/>
          <w:lang w:bidi="en-US"/>
        </w:rPr>
        <w:t>- минимальный коэффициент застройки – 0,3 %;</w:t>
      </w:r>
    </w:p>
    <w:p>
      <w:pPr>
        <w:pStyle w:val="Normal"/>
        <w:suppressAutoHyphens w:val="true"/>
        <w:ind w:firstLine="708"/>
        <w:jc w:val="both"/>
        <w:textAlignment w:val="baseline"/>
        <w:rPr/>
      </w:pPr>
      <w:r>
        <w:rPr>
          <w:rFonts w:eastAsia="Lucida Sans Unicode"/>
          <w:color w:val="000000"/>
          <w:kern w:val="2"/>
          <w:lang w:bidi="en-US"/>
        </w:rPr>
        <w:t>- максимальный коэффициент застройки – 60 %;</w:t>
      </w:r>
    </w:p>
    <w:p>
      <w:pPr>
        <w:pStyle w:val="Normal"/>
        <w:suppressAutoHyphens w:val="true"/>
        <w:ind w:firstLine="708"/>
        <w:jc w:val="both"/>
        <w:textAlignment w:val="baseline"/>
        <w:rPr/>
      </w:pPr>
      <w:r>
        <w:rPr>
          <w:rFonts w:eastAsia="Lucida Sans Unicode"/>
          <w:color w:val="000000"/>
          <w:kern w:val="2"/>
          <w:lang w:bidi="en-US"/>
        </w:rPr>
        <w:t>- минимальный коэффициент озеленения – 10 %;</w:t>
      </w:r>
    </w:p>
    <w:p>
      <w:pPr>
        <w:pStyle w:val="Normal"/>
        <w:suppressAutoHyphens w:val="true"/>
        <w:ind w:firstLine="708"/>
        <w:jc w:val="both"/>
        <w:textAlignment w:val="baseline"/>
        <w:rPr/>
      </w:pPr>
      <w:r>
        <w:rPr>
          <w:rFonts w:eastAsia="Lucida Sans Unicode"/>
          <w:color w:val="000000"/>
          <w:kern w:val="2"/>
          <w:lang w:bidi="en-US"/>
        </w:rPr>
        <w:t>- максимальное количество этажей – 1;</w:t>
      </w:r>
    </w:p>
    <w:p>
      <w:pPr>
        <w:pStyle w:val="Normal"/>
        <w:suppressAutoHyphens w:val="true"/>
        <w:ind w:firstLine="708"/>
        <w:jc w:val="both"/>
        <w:textAlignment w:val="baseline"/>
        <w:rPr>
          <w:rFonts w:eastAsia="Lucida Sans Unicode"/>
          <w:color w:val="000000"/>
          <w:kern w:val="2"/>
          <w:lang w:bidi="en-US"/>
        </w:rPr>
      </w:pPr>
      <w:r>
        <w:rPr>
          <w:rFonts w:eastAsia="Lucida Sans Unicode"/>
          <w:color w:val="000000"/>
          <w:kern w:val="2"/>
          <w:lang w:bidi="en-US"/>
        </w:rPr>
        <w:t>- 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u w:val="single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>
      <w:pPr>
        <w:pStyle w:val="Normal"/>
        <w:suppressAutoHyphens w:val="true"/>
        <w:spacing w:before="0" w:after="0"/>
        <w:ind w:firstLine="709"/>
        <w:contextualSpacing/>
        <w:jc w:val="both"/>
        <w:textAlignment w:val="baseline"/>
        <w:rPr>
          <w:sz w:val="24"/>
          <w:szCs w:val="24"/>
        </w:rPr>
      </w:pPr>
      <w:r>
        <w:rPr>
          <w:rFonts w:eastAsia="Lucida Sans Unicode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eastAsia="en-US" w:bidi="en-US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(к централизованной сети водоснабжения, к сетям газоснабжения и к сетям теплоснабжения) отсутствует.</w:t>
      </w:r>
    </w:p>
    <w:p>
      <w:pPr>
        <w:pStyle w:val="Normal"/>
        <w:suppressAutoHyphens w:val="true"/>
        <w:spacing w:lineRule="exact" w:line="278"/>
        <w:ind w:left="720" w:hanging="12"/>
        <w:jc w:val="both"/>
        <w:textAlignment w:val="baseline"/>
        <w:rPr>
          <w:rFonts w:eastAsia="Lucida Sans Unicode"/>
          <w:color w:val="000000"/>
          <w:kern w:val="2"/>
          <w:u w:val="single"/>
          <w:lang w:eastAsia="en-US" w:bidi="en-US"/>
        </w:rPr>
      </w:pPr>
      <w:r>
        <w:rPr>
          <w:rFonts w:eastAsia="Lucida Sans Unicode"/>
          <w:color w:val="000000"/>
          <w:kern w:val="2"/>
          <w:u w:val="single"/>
          <w:lang w:eastAsia="en-US" w:bidi="en-US"/>
        </w:rPr>
        <w:t>Обременения и ограничения в использовании земельного участка:</w:t>
      </w:r>
    </w:p>
    <w:p>
      <w:pPr>
        <w:pStyle w:val="Normal"/>
        <w:tabs>
          <w:tab w:val="clear" w:pos="708"/>
          <w:tab w:val="left" w:pos="709" w:leader="none"/>
        </w:tabs>
        <w:suppressAutoHyphens w:val="true"/>
        <w:spacing w:lineRule="auto" w:line="276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Соблюдать при использовании Участка законодательство Российской Федерации и Псковской области, Правила благоустройства территории муниципального образования </w:t>
      </w:r>
      <w:r>
        <w:rPr>
          <w:rFonts w:eastAsia="Lucida Sans Unicode"/>
          <w:color w:val="000000"/>
          <w:kern w:val="2"/>
          <w:sz w:val="24"/>
          <w:szCs w:val="24"/>
          <w:lang w:val="x-none" w:eastAsia="en-US" w:bidi="en-US"/>
        </w:rPr>
        <w:t>«</w:t>
      </w:r>
      <w:r>
        <w:rPr>
          <w:rFonts w:eastAsia="Lucida Sans Unicode"/>
          <w:color w:val="000000"/>
          <w:kern w:val="2"/>
          <w:sz w:val="24"/>
          <w:szCs w:val="24"/>
          <w:lang w:val="ru-RU" w:eastAsia="en-US" w:bidi="en-US"/>
        </w:rPr>
        <w:t>Лычевская волость</w:t>
      </w:r>
      <w:r>
        <w:rPr>
          <w:rFonts w:eastAsia="Lucida Sans Unicode"/>
          <w:color w:val="000000"/>
          <w:kern w:val="2"/>
          <w:sz w:val="24"/>
          <w:szCs w:val="24"/>
          <w:lang w:val="x-none" w:eastAsia="en-US" w:bidi="en-US"/>
        </w:rPr>
        <w:t xml:space="preserve">» </w:t>
      </w:r>
      <w:r>
        <w:rPr>
          <w:rFonts w:eastAsia="Lucida Sans Unicode"/>
          <w:color w:val="000000"/>
          <w:kern w:val="2"/>
          <w:sz w:val="24"/>
          <w:szCs w:val="24"/>
          <w:lang w:val="ru-RU" w:eastAsia="en-US" w:bidi="en-US"/>
        </w:rPr>
        <w:t>Великолукского района Псковской области</w:t>
      </w:r>
      <w:r>
        <w:rPr>
          <w:rFonts w:eastAsia="Lucida Sans Unicode"/>
          <w:color w:val="000000"/>
          <w:kern w:val="2"/>
          <w:sz w:val="24"/>
          <w:szCs w:val="24"/>
          <w:lang w:val="x-none" w:eastAsia="en-US" w:bidi="en-US"/>
        </w:rPr>
        <w:t>, утвержденны</w:t>
      </w:r>
      <w:r>
        <w:rPr>
          <w:rFonts w:eastAsia="Lucida Sans Unicode"/>
          <w:color w:val="000000"/>
          <w:kern w:val="2"/>
          <w:sz w:val="24"/>
          <w:szCs w:val="24"/>
          <w:lang w:val="ru-RU" w:eastAsia="en-US" w:bidi="en-US"/>
        </w:rPr>
        <w:t>е</w:t>
      </w:r>
      <w:r>
        <w:rPr>
          <w:rFonts w:eastAsia="Lucida Sans Unicode"/>
          <w:color w:val="000000"/>
          <w:kern w:val="2"/>
          <w:sz w:val="24"/>
          <w:szCs w:val="24"/>
          <w:lang w:val="x-none" w:eastAsia="en-US" w:bidi="en-US"/>
        </w:rPr>
        <w:t xml:space="preserve"> решением </w:t>
      </w:r>
      <w:r>
        <w:rPr>
          <w:rFonts w:eastAsia="Lucida Sans Unicode"/>
          <w:color w:val="000000"/>
          <w:kern w:val="2"/>
          <w:sz w:val="24"/>
          <w:szCs w:val="24"/>
          <w:lang w:val="ru-RU" w:eastAsia="en-US" w:bidi="en-US"/>
        </w:rPr>
        <w:t xml:space="preserve">Собрания депутатов сельского поселения «Лычевская волость» </w:t>
      </w:r>
      <w:r>
        <w:rPr>
          <w:rFonts w:eastAsia="Lucida Sans Unicode"/>
          <w:color w:val="000000"/>
          <w:kern w:val="2"/>
          <w:sz w:val="24"/>
          <w:szCs w:val="24"/>
          <w:lang w:val="x-none" w:eastAsia="en-US" w:bidi="en-US"/>
        </w:rPr>
        <w:t>Великолукско</w:t>
      </w:r>
      <w:r>
        <w:rPr>
          <w:rFonts w:eastAsia="Lucida Sans Unicode"/>
          <w:color w:val="000000"/>
          <w:kern w:val="2"/>
          <w:sz w:val="24"/>
          <w:szCs w:val="24"/>
          <w:lang w:val="ru-RU" w:eastAsia="en-US" w:bidi="en-US"/>
        </w:rPr>
        <w:t>го района Псковской области</w:t>
      </w:r>
      <w:r>
        <w:rPr>
          <w:rFonts w:eastAsia="Lucida Sans Unicode"/>
          <w:color w:val="000000"/>
          <w:kern w:val="2"/>
          <w:sz w:val="24"/>
          <w:szCs w:val="24"/>
          <w:lang w:val="x-none" w:eastAsia="en-US" w:bidi="en-US"/>
        </w:rPr>
        <w:t>,</w:t>
      </w:r>
      <w:r>
        <w:rPr>
          <w:rFonts w:eastAsia="Calibri"/>
          <w:lang w:eastAsia="en-US"/>
        </w:rPr>
        <w:t xml:space="preserve"> в части очистки, прокопки и уборки водосточных канав, лотков, труб, дренажей (в том числе проходящих через земельный участок, на прилегающих территориях),  предназначенных для отвода поверхностных и грунтовых вод, не допускать подтопления соседних участков, тротуаров, улиц и проездов, и другие нормативно-правовые акты муниципального образования «Лычевская волость»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и другими природными объектами. </w:t>
      </w:r>
    </w:p>
    <w:p>
      <w:pPr>
        <w:pStyle w:val="Normal"/>
        <w:tabs>
          <w:tab w:val="clear" w:pos="708"/>
          <w:tab w:val="left" w:pos="709" w:leader="none"/>
        </w:tabs>
        <w:suppressAutoHyphens w:val="true"/>
        <w:spacing w:lineRule="auto" w:line="276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 </w:t>
      </w:r>
      <w:r>
        <w:rPr>
          <w:rFonts w:eastAsia="Calibri"/>
          <w:sz w:val="24"/>
          <w:szCs w:val="24"/>
          <w:lang w:val="ru-RU" w:eastAsia="en-US"/>
        </w:rPr>
        <w:t xml:space="preserve">На  земельный участок с учетным номером части 60:02:0051501:160/1, площадью                  56 кв.м.,  установлены ограничения прав, предусмотренные статьей 56 Земельного кодекса Российской Федерации.   Срок действия: не установлен; реквизиты документа-основания: карта (план) объекта землеустройства от 15.01.2010 № б/н выдан: Объединенная комплексная экспедиция №186 филиал Федерального государственного унитарного предприятия «Новгород АГП»; Содержание ограничения (обременения): Ограничения использования установленны постановлением Правительства Российской Федерации от 24.02.2009 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Реестровый номер границы: 60:00-6.135; Вид объекта реестра границ: Зона с особыми условиями использования территории; Вид зоны по документу: Охранная зона ВЛ 10 кВ Л 78-06, Л 78-08, Л 136-01, Л 136-02, Л 136-04, Л 136-05, Л 136-06, Л 136-07, Л 136-08, Л 136-09, Л 236-02, Л 236-04, Л 236-07, Л 236-11; Тип зоны: Охранная зона инженерных коммуникаций. </w:t>
      </w:r>
    </w:p>
    <w:p>
      <w:pPr>
        <w:pStyle w:val="Normal"/>
        <w:tabs>
          <w:tab w:val="clear" w:pos="708"/>
          <w:tab w:val="left" w:pos="709" w:leader="none"/>
        </w:tabs>
        <w:suppressAutoHyphens w:val="true"/>
        <w:spacing w:lineRule="auto" w:line="276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>
        <w:rPr>
          <w:rFonts w:eastAsia="Calibri"/>
          <w:sz w:val="24"/>
          <w:szCs w:val="24"/>
          <w:lang w:val="ru-RU" w:eastAsia="en-US"/>
        </w:rPr>
        <w:t>На  земельный участок с учетным номером части 60:02:0051501:160/2, площадью                   56 кв.м.,  установлены ограничения прав, предусмотренные статьей 56 Земельного кодекса Российской Федерации.</w:t>
      </w:r>
      <w:r>
        <w:rPr>
          <w:rFonts w:eastAsia="Calibri"/>
          <w:sz w:val="24"/>
          <w:szCs w:val="24"/>
          <w:lang w:eastAsia="en-US"/>
        </w:rPr>
        <w:t xml:space="preserve">   Срок действия: не установлен; реквизиты документа-основания: карта (план) объекта землеустройства от 15.01.2010 № б/н выдан: Объединенная комплексная экспедиция №186 филиал Федерального государственного унитарного предприятия «Новгород АГП»; Содержание ограничения (обременения): Ограничения использования установленны постановлением Правительства Российской Федерации от 24.02.2009 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Реестровый номер границы: 60:02-6.85; Вид объекта реестра границ: Зона с особыми условиями использования территории; Вид зоны по документу: Охранная зона ВЛ 10 кВ Л 78-06, Л 78-08, Л 136-01, Л 136-02, Л 136-04, Л 136-05, Л 136-06, Л 136-07, Л 136-08, Л 136-09, Л 236-02, Л 236-04, Л 236-07, Л 236-11; Тип зоны: Охранная зона инженерных коммуникаций.</w:t>
      </w:r>
    </w:p>
    <w:p>
      <w:pPr>
        <w:pStyle w:val="Normal"/>
        <w:tabs>
          <w:tab w:val="clear" w:pos="708"/>
          <w:tab w:val="left" w:pos="709" w:leader="none"/>
        </w:tabs>
        <w:suppressAutoHyphens w:val="true"/>
        <w:spacing w:lineRule="auto" w:line="276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uppressAutoHyphens w:val="true"/>
        <w:ind w:firstLine="708"/>
        <w:jc w:val="both"/>
        <w:textAlignment w:val="baseline"/>
        <w:rPr/>
      </w:pPr>
      <w:r>
        <w:rPr>
          <w:b/>
          <w:u w:val="single"/>
        </w:rPr>
        <w:t>5.</w:t>
      </w:r>
      <w:r>
        <w:rPr>
          <w:u w:val="single"/>
        </w:rPr>
        <w:t xml:space="preserve"> </w:t>
      </w:r>
      <w:r>
        <w:rPr>
          <w:b/>
          <w:i/>
          <w:u w:val="single"/>
        </w:rPr>
        <w:t>Начальная цена предмета аукциона</w:t>
      </w:r>
      <w:r>
        <w:rPr/>
        <w:t>:</w:t>
      </w:r>
    </w:p>
    <w:p>
      <w:pPr>
        <w:pStyle w:val="Normal"/>
        <w:suppressAutoHyphens w:val="true"/>
        <w:ind w:firstLine="708"/>
        <w:jc w:val="both"/>
        <w:textAlignment w:val="baseline"/>
        <w:rPr/>
      </w:pPr>
      <w:r>
        <w:rPr>
          <w:bCs/>
          <w:iCs/>
        </w:rPr>
        <w:t xml:space="preserve">начальная цена ежегодной арендной платы – </w:t>
      </w:r>
      <w:r>
        <w:rPr>
          <w:b/>
          <w:bCs/>
          <w:iCs/>
        </w:rPr>
        <w:t>6 981</w:t>
      </w:r>
      <w:r>
        <w:rPr>
          <w:bCs/>
          <w:iCs/>
        </w:rPr>
        <w:t xml:space="preserve"> (шесть тысяч девятьсот восемьдесят один) </w:t>
      </w:r>
      <w:r>
        <w:rPr/>
        <w:t xml:space="preserve">руб. </w:t>
      </w:r>
      <w:r>
        <w:rPr>
          <w:b/>
          <w:bCs/>
        </w:rPr>
        <w:t>60</w:t>
      </w:r>
      <w:r>
        <w:rPr/>
        <w:t xml:space="preserve"> коп.</w:t>
      </w:r>
    </w:p>
    <w:p>
      <w:pPr>
        <w:pStyle w:val="Normal"/>
        <w:suppressAutoHyphens w:val="true"/>
        <w:ind w:firstLine="708"/>
        <w:jc w:val="both"/>
        <w:textAlignment w:val="baseline"/>
        <w:rPr/>
      </w:pPr>
      <w:r>
        <w:rPr>
          <w:b/>
          <w:u w:val="single"/>
        </w:rPr>
        <w:t>6.</w:t>
      </w:r>
      <w:r>
        <w:rPr>
          <w:u w:val="single"/>
        </w:rPr>
        <w:t xml:space="preserve"> </w:t>
      </w:r>
      <w:r>
        <w:rPr>
          <w:b/>
          <w:i/>
          <w:u w:val="single"/>
        </w:rPr>
        <w:t>Шаг аукциона</w:t>
      </w:r>
      <w:r>
        <w:rPr>
          <w:b/>
          <w:i/>
        </w:rPr>
        <w:t>:</w:t>
      </w:r>
      <w:r>
        <w:rPr/>
        <w:t xml:space="preserve"> </w:t>
      </w:r>
      <w:r>
        <w:rPr>
          <w:b/>
          <w:bCs/>
        </w:rPr>
        <w:t>209</w:t>
      </w:r>
      <w:r>
        <w:rPr/>
        <w:t xml:space="preserve"> (двести девять) руб. </w:t>
      </w:r>
      <w:r>
        <w:rPr>
          <w:b/>
          <w:bCs/>
        </w:rPr>
        <w:t>45</w:t>
      </w:r>
      <w:r>
        <w:rPr/>
        <w:t xml:space="preserve"> коп.</w:t>
      </w:r>
    </w:p>
    <w:p>
      <w:pPr>
        <w:pStyle w:val="Normal"/>
        <w:suppressAutoHyphens w:val="true"/>
        <w:ind w:firstLine="708"/>
        <w:jc w:val="both"/>
        <w:textAlignment w:val="baseline"/>
        <w:rPr/>
      </w:pPr>
      <w:r>
        <w:rPr/>
      </w:r>
    </w:p>
    <w:p>
      <w:pPr>
        <w:pStyle w:val="Normal"/>
        <w:suppressAutoHyphens w:val="true"/>
        <w:ind w:firstLine="708"/>
        <w:jc w:val="both"/>
        <w:textAlignment w:val="baseline"/>
        <w:rPr>
          <w:rFonts w:cs="Arial CYR"/>
          <w:b/>
          <w:b/>
          <w:bCs/>
          <w:i/>
          <w:i/>
          <w:color w:val="000000"/>
          <w:u w:val="single"/>
        </w:rPr>
      </w:pPr>
      <w:r>
        <w:rPr>
          <w:rFonts w:cs="Arial CYR"/>
          <w:b/>
          <w:bCs/>
          <w:color w:val="000000"/>
        </w:rPr>
        <w:t>7.</w:t>
      </w:r>
      <w:r>
        <w:rPr>
          <w:rFonts w:cs="Arial CYR"/>
          <w:bCs/>
          <w:color w:val="000000"/>
        </w:rPr>
        <w:t xml:space="preserve"> </w:t>
      </w:r>
      <w:r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>
      <w:pPr>
        <w:pStyle w:val="Normal"/>
        <w:widowControl w:val="false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>
      <w:pPr>
        <w:pStyle w:val="Normal"/>
        <w:widowControl w:val="false"/>
        <w:ind w:firstLine="709"/>
        <w:jc w:val="both"/>
        <w:rPr/>
      </w:pPr>
      <w:r>
        <w:rPr/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>
      <w:pPr>
        <w:pStyle w:val="Normal"/>
        <w:widowControl w:val="false"/>
        <w:ind w:firstLine="709"/>
        <w:jc w:val="both"/>
        <w:rPr/>
      </w:pPr>
      <w:r>
        <w:rPr/>
        <w:t>Для регистрации в ТС пользователь в Личном кабинете выбирает форму заявления на регистрацию в ТС в зависимости от требуемых полномочий, указанных в пункте 2.1.2. настоящего Регламента, указывает (при необходимости) предусмотренные формой сведения и подписывает ЭП посредством штатного интерфейса ТС.</w:t>
      </w:r>
    </w:p>
    <w:p>
      <w:pPr>
        <w:pStyle w:val="Normal"/>
        <w:widowControl w:val="false"/>
        <w:ind w:firstLine="709"/>
        <w:jc w:val="both"/>
        <w:rPr>
          <w:rFonts w:cs="Arial CYR"/>
          <w:bCs/>
          <w:color w:val="000000"/>
        </w:rPr>
      </w:pPr>
      <w:r>
        <w:rPr/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>
      <w:pPr>
        <w:pStyle w:val="Normal"/>
        <w:widowControl w:val="false"/>
        <w:ind w:firstLine="709"/>
        <w:jc w:val="both"/>
        <w:rPr>
          <w:rFonts w:cs="Arial CYR"/>
          <w:b/>
          <w:b/>
          <w:bCs/>
        </w:rPr>
      </w:pPr>
      <w:r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>
      <w:pPr>
        <w:pStyle w:val="Normal"/>
        <w:ind w:firstLine="708"/>
        <w:jc w:val="both"/>
        <w:rPr/>
      </w:pPr>
      <w:r>
        <w:rPr/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>
      <w:pPr>
        <w:pStyle w:val="Normal"/>
        <w:ind w:firstLine="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копии документов, удостоверяющих личность заявителя (для граждан);</w:t>
      </w:r>
    </w:p>
    <w:p>
      <w:pPr>
        <w:pStyle w:val="Normal"/>
        <w:ind w:firstLine="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ind w:firstLine="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документы, подтверждающие внесение задатка.</w:t>
      </w:r>
    </w:p>
    <w:p>
      <w:pPr>
        <w:pStyle w:val="Normal"/>
        <w:ind w:firstLine="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выданной и оформленной в соответствии с гражданским законодательством.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>
        <w:rPr/>
        <w:t xml:space="preserve"> </w:t>
      </w:r>
      <w:r>
        <w:rPr>
          <w:rFonts w:eastAsia="Calibri" w:eastAsiaTheme="minorHAnsi"/>
          <w:lang w:eastAsia="en-US"/>
        </w:rPr>
        <w:t>либо лица, имеющего право действовать от имени заявителя.</w:t>
      </w:r>
    </w:p>
    <w:p>
      <w:pPr>
        <w:pStyle w:val="Normal"/>
        <w:ind w:firstLine="708"/>
        <w:jc w:val="both"/>
        <w:rPr/>
      </w:pPr>
      <w:r>
        <w:rPr/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>
      <w:pPr>
        <w:pStyle w:val="Normal"/>
        <w:ind w:firstLine="708"/>
        <w:jc w:val="both"/>
        <w:rPr/>
      </w:pPr>
      <w:r>
        <w:rPr/>
        <w:t>Претендент вправе подать одну заявку на участие в любой процедуре торгов, извещение о проведении которой размещено в ТС.</w:t>
      </w:r>
    </w:p>
    <w:p>
      <w:pPr>
        <w:pStyle w:val="Normal"/>
        <w:ind w:firstLine="708"/>
        <w:jc w:val="both"/>
        <w:rPr/>
      </w:pPr>
      <w:r>
        <w:rPr/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>
      <w:pPr>
        <w:pStyle w:val="Normal"/>
        <w:ind w:firstLine="708"/>
        <w:jc w:val="both"/>
        <w:rPr/>
      </w:pPr>
      <w:r>
        <w:rPr/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>
      <w:pPr>
        <w:pStyle w:val="Normal"/>
        <w:ind w:firstLine="567"/>
        <w:jc w:val="both"/>
        <w:rPr/>
      </w:pPr>
      <w:r>
        <w:rPr/>
        <w:t>Заявка не может быть принята Оператором в случаях:</w:t>
      </w:r>
    </w:p>
    <w:p>
      <w:pPr>
        <w:pStyle w:val="Normal"/>
        <w:ind w:firstLine="567"/>
        <w:jc w:val="both"/>
        <w:rPr/>
      </w:pPr>
      <w:r>
        <w:rPr/>
        <w:t>а) отсутствия на лицевом счете Претендента достаточной суммы денежных средств в размере задатка;</w:t>
      </w:r>
    </w:p>
    <w:p>
      <w:pPr>
        <w:pStyle w:val="Normal"/>
        <w:ind w:firstLine="567"/>
        <w:jc w:val="both"/>
        <w:rPr/>
      </w:pPr>
      <w:r>
        <w:rPr/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настоящего Регламента, регулирующими особенности проведения различных способов продажи имущества;</w:t>
      </w:r>
    </w:p>
    <w:p>
      <w:pPr>
        <w:pStyle w:val="Normal"/>
        <w:ind w:firstLine="567"/>
        <w:jc w:val="both"/>
        <w:rPr/>
      </w:pPr>
      <w:r>
        <w:rPr/>
        <w:t>в) подачи заявки по истечении установленного срока подачи заявок;</w:t>
      </w:r>
    </w:p>
    <w:p>
      <w:pPr>
        <w:pStyle w:val="Normal"/>
        <w:ind w:firstLine="567"/>
        <w:jc w:val="both"/>
        <w:rPr/>
      </w:pPr>
      <w:r>
        <w:rPr/>
        <w:t>г) некорректного заполнения формы заявки, в том числе незаполнения полей, являющихся обязательными для заполнения;</w:t>
      </w:r>
    </w:p>
    <w:p>
      <w:pPr>
        <w:pStyle w:val="Normal"/>
        <w:ind w:firstLine="567"/>
        <w:jc w:val="both"/>
        <w:rPr/>
      </w:pPr>
      <w:r>
        <w:rPr/>
        <w:t>д) в других случаях, предусмотренных Регламентом ТС, для отдельных способов торгов.</w:t>
      </w:r>
    </w:p>
    <w:p>
      <w:pPr>
        <w:pStyle w:val="Normal"/>
        <w:ind w:firstLine="567"/>
        <w:jc w:val="both"/>
        <w:rPr/>
      </w:pPr>
      <w:r>
        <w:rPr/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>
      <w:pPr>
        <w:pStyle w:val="Normal"/>
        <w:ind w:firstLine="567"/>
        <w:jc w:val="both"/>
        <w:rPr/>
      </w:pPr>
      <w:r>
        <w:rPr/>
        <w:t>До окончания срока подачи заявок Претендент, подавший заявку, вправе изменить или отозвать ее.</w:t>
      </w:r>
    </w:p>
    <w:p>
      <w:pPr>
        <w:pStyle w:val="Normal"/>
        <w:ind w:firstLine="567"/>
        <w:jc w:val="both"/>
        <w:rPr/>
      </w:pPr>
      <w:r>
        <w:rPr/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>
      <w:pPr>
        <w:pStyle w:val="Normal"/>
        <w:ind w:firstLine="567"/>
        <w:jc w:val="both"/>
        <w:rPr/>
      </w:pPr>
      <w:r>
        <w:rPr/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>
      <w:pPr>
        <w:pStyle w:val="Normal"/>
        <w:ind w:firstLine="567"/>
        <w:jc w:val="both"/>
        <w:rPr/>
      </w:pPr>
      <w:r>
        <w:rPr/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>
      <w:pPr>
        <w:pStyle w:val="Normal"/>
        <w:ind w:firstLine="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2">
        <w:r>
          <w:rPr>
            <w:rFonts w:eastAsia="Calibri" w:eastAsiaTheme="minorHAnsi"/>
            <w:lang w:eastAsia="en-US"/>
          </w:rPr>
          <w:t>https://utp.sberbank-ast.ru/AP/Notice/652/Instructions</w:t>
        </w:r>
      </w:hyperlink>
      <w:r>
        <w:rPr>
          <w:rFonts w:eastAsia="Calibri" w:eastAsiaTheme="minorHAnsi"/>
          <w:lang w:eastAsia="en-US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hanging="0"/>
        <w:jc w:val="both"/>
        <w:outlineLvl w:val="0"/>
        <w:rPr/>
      </w:pPr>
      <w:r>
        <w:rPr>
          <w:rFonts w:eastAsia="Calibri"/>
        </w:rPr>
        <w:tab/>
      </w:r>
      <w:r>
        <w:rPr/>
        <w:t>Заявитель не допускается к участию в аукционе в следующих случаях: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709"/>
        <w:jc w:val="both"/>
        <w:rPr/>
      </w:pPr>
      <w:r>
        <w:rPr/>
        <w:t>1) 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709"/>
        <w:jc w:val="both"/>
        <w:rPr/>
      </w:pPr>
      <w:r>
        <w:rPr/>
        <w:t>2) непоступление задатка на дату рассмотрения заявок на участие в аукционе;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709"/>
        <w:jc w:val="both"/>
        <w:rPr/>
      </w:pPr>
      <w:r>
        <w:rPr/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709"/>
        <w:jc w:val="both"/>
        <w:rPr/>
      </w:pPr>
      <w:r>
        <w:rPr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709"/>
        <w:jc w:val="both"/>
        <w:rPr/>
      </w:pPr>
      <w:r>
        <w:rPr/>
        <w:t>Организатор торгов 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709"/>
        <w:jc w:val="both"/>
        <w:rPr/>
      </w:pPr>
      <w:r>
        <w:rPr/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709"/>
        <w:jc w:val="both"/>
        <w:rPr/>
      </w:pPr>
      <w:r>
        <w:rPr/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>
      <w:pPr>
        <w:pStyle w:val="Normal"/>
        <w:widowControl w:val="fals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709"/>
        <w:jc w:val="both"/>
        <w:rPr>
          <w:rFonts w:cs="Arial CYR"/>
          <w:bCs/>
        </w:rPr>
      </w:pPr>
      <w:r>
        <w:rPr>
          <w:rFonts w:eastAsia="Calibri" w:cs="Arial CYR" w:eastAsiaTheme="minorHAnsi"/>
          <w:bCs/>
          <w:lang w:eastAsia="en-US"/>
        </w:rPr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709"/>
        <w:jc w:val="both"/>
        <w:rPr>
          <w:b/>
          <w:b/>
        </w:rPr>
      </w:pPr>
      <w:r>
        <w:rPr>
          <w:b/>
        </w:rPr>
        <w:t xml:space="preserve">Адрес места приема заявки: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709"/>
        <w:jc w:val="both"/>
        <w:rPr>
          <w:rFonts w:cs="Arial CYR"/>
          <w:bCs/>
        </w:rPr>
      </w:pPr>
      <w:r>
        <w:rPr>
          <w:rFonts w:cs="Arial CYR"/>
        </w:rPr>
        <w:t>универсальная торговая платформа АО «Сбербанк-АСТ», размещенная на сайте http://utp.sberbank-ast.ru в сети Интернет.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709"/>
        <w:jc w:val="both"/>
        <w:rPr>
          <w:b/>
          <w:b/>
        </w:rPr>
      </w:pPr>
      <w:r>
        <w:rPr>
          <w:b/>
        </w:rPr>
        <w:t xml:space="preserve">Дата и время начала приема заявок на участие в аукционе: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709"/>
        <w:jc w:val="both"/>
        <w:rPr>
          <w:u w:val="single"/>
        </w:rPr>
      </w:pPr>
      <w:r>
        <w:rPr>
          <w:u w:val="single"/>
        </w:rPr>
        <w:t xml:space="preserve">29 мая 2025г. с 00 час. 00 мин.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709"/>
        <w:jc w:val="both"/>
        <w:rPr>
          <w:b/>
          <w:b/>
        </w:rPr>
      </w:pPr>
      <w:r>
        <w:rPr>
          <w:b/>
        </w:rPr>
        <w:t>Дата и время окончания приема заявок на участие в аукционе: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709"/>
        <w:jc w:val="both"/>
        <w:rPr/>
      </w:pPr>
      <w:r>
        <w:rPr>
          <w:u w:val="single"/>
        </w:rPr>
        <w:t xml:space="preserve">12 июня 2025 г. в 00 час. 00 мин. 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709"/>
        <w:jc w:val="both"/>
        <w:rPr/>
      </w:pPr>
      <w:r>
        <w:rPr>
          <w:b/>
        </w:rPr>
        <w:t>Рассмотрение заявок и признание заявителей участниками аукциона</w:t>
      </w:r>
      <w:r>
        <w:rPr/>
        <w:t xml:space="preserve"> –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709"/>
        <w:jc w:val="both"/>
        <w:rPr>
          <w:u w:val="single"/>
        </w:rPr>
      </w:pPr>
      <w:bookmarkStart w:id="0" w:name="_GoBack"/>
      <w:bookmarkEnd w:id="0"/>
      <w:r>
        <w:rPr>
          <w:u w:val="single"/>
        </w:rPr>
        <w:t xml:space="preserve">17 июня 2025 г.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709"/>
        <w:jc w:val="both"/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firstLine="709"/>
        <w:jc w:val="both"/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  <w:t xml:space="preserve">8. </w:t>
      </w:r>
      <w:r>
        <w:rPr>
          <w:b/>
          <w:bCs/>
          <w:i/>
          <w:iCs/>
          <w:u w:val="single"/>
        </w:rPr>
        <w:t>Размер задатка:</w:t>
      </w:r>
      <w:r>
        <w:rPr>
          <w:b/>
          <w:bCs/>
          <w:i w:val="false"/>
          <w:iCs w:val="false"/>
          <w:u w:val="none"/>
        </w:rPr>
        <w:t xml:space="preserve"> </w:t>
      </w:r>
      <w:r>
        <w:rPr>
          <w:b/>
          <w:bCs/>
          <w:i w:val="false"/>
          <w:iCs w:val="false"/>
          <w:u w:val="single"/>
        </w:rPr>
        <w:t>1 396</w:t>
      </w:r>
      <w:r>
        <w:rPr>
          <w:b w:val="false"/>
          <w:bCs w:val="false"/>
          <w:i w:val="false"/>
          <w:iCs w:val="false"/>
          <w:u w:val="single"/>
        </w:rPr>
        <w:t xml:space="preserve"> (одна тысяча триста девяносто шесть) руб.</w:t>
      </w:r>
      <w:r>
        <w:rPr>
          <w:b/>
          <w:bCs/>
          <w:i w:val="false"/>
          <w:iCs w:val="false"/>
          <w:u w:val="single"/>
        </w:rPr>
        <w:t xml:space="preserve"> 32 </w:t>
      </w:r>
      <w:r>
        <w:rPr>
          <w:b w:val="false"/>
          <w:bCs w:val="false"/>
          <w:i w:val="false"/>
          <w:iCs w:val="false"/>
          <w:u w:val="single"/>
        </w:rPr>
        <w:t>коп.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firstLine="709"/>
        <w:jc w:val="both"/>
        <w:outlineLvl w:val="0"/>
        <w:rPr/>
      </w:pPr>
      <w:r>
        <w:rPr/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firstLine="709"/>
        <w:jc w:val="both"/>
        <w:outlineLvl w:val="0"/>
        <w:rPr/>
      </w:pPr>
      <w:r>
        <w:rPr/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firstLine="709"/>
        <w:jc w:val="both"/>
        <w:outlineLvl w:val="0"/>
        <w:rPr>
          <w:color w:val="FF0000"/>
        </w:rPr>
      </w:pPr>
      <w:r>
        <w:rPr/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>
        <w:rPr>
          <w:color w:val="00B050"/>
        </w:rPr>
        <w:t>(</w:t>
      </w:r>
      <w:hyperlink r:id="rId3">
        <w:r>
          <w:rPr>
            <w:color w:val="00B050"/>
          </w:rPr>
          <w:t>http://utp.sberbank-ast.ru/Main/Notice/988/Reglament</w:t>
        </w:r>
      </w:hyperlink>
      <w:r>
        <w:rPr/>
        <w:t xml:space="preserve">).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firstLine="709"/>
        <w:jc w:val="both"/>
        <w:outlineLvl w:val="0"/>
        <w:rPr/>
      </w:pPr>
      <w:r>
        <w:rPr/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firstLine="709"/>
        <w:jc w:val="both"/>
        <w:outlineLvl w:val="0"/>
        <w:rPr/>
      </w:pPr>
      <w:r>
        <w:rPr/>
        <w:t>ПОЛУЧАТЕЛЬ: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firstLine="709"/>
        <w:jc w:val="both"/>
        <w:outlineLvl w:val="0"/>
        <w:rPr/>
      </w:pPr>
      <w:r>
        <w:rPr/>
        <w:t>Наименование: АО «Сбербанк-АСТ»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firstLine="709"/>
        <w:jc w:val="both"/>
        <w:outlineLvl w:val="0"/>
        <w:rPr/>
      </w:pPr>
      <w:r>
        <w:rPr/>
        <w:t xml:space="preserve">ИНН: 7707308480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firstLine="709"/>
        <w:jc w:val="both"/>
        <w:outlineLvl w:val="0"/>
        <w:rPr/>
      </w:pPr>
      <w:r>
        <w:rPr/>
        <w:t xml:space="preserve">КПП: 770401001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firstLine="709"/>
        <w:jc w:val="both"/>
        <w:outlineLvl w:val="0"/>
        <w:rPr/>
      </w:pPr>
      <w:r>
        <w:rPr/>
        <w:t>Расчетный счет: 40702810300020038047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firstLine="709"/>
        <w:jc w:val="both"/>
        <w:outlineLvl w:val="0"/>
        <w:rPr/>
      </w:pPr>
      <w:r>
        <w:rPr/>
        <w:t xml:space="preserve">БАНК ПОЛУЧАТЕЛЯ: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firstLine="709"/>
        <w:jc w:val="both"/>
        <w:outlineLvl w:val="0"/>
        <w:rPr/>
      </w:pPr>
      <w:r>
        <w:rPr/>
        <w:t xml:space="preserve">Наименование банка: ПАО «СБЕРБАНК РОССИИ» Г. МОСКВА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firstLine="709"/>
        <w:jc w:val="both"/>
        <w:outlineLvl w:val="0"/>
        <w:rPr/>
      </w:pPr>
      <w:r>
        <w:rPr/>
        <w:t xml:space="preserve">БИК: 044525225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firstLine="709"/>
        <w:jc w:val="both"/>
        <w:outlineLvl w:val="0"/>
        <w:rPr/>
      </w:pPr>
      <w:r>
        <w:rPr/>
        <w:t>Корреспондентский счет: 30101810400000000225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firstLine="709"/>
        <w:jc w:val="both"/>
        <w:outlineLvl w:val="0"/>
        <w:rPr/>
      </w:pPr>
      <w:r>
        <w:rPr/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firstLine="709"/>
        <w:jc w:val="both"/>
        <w:outlineLvl w:val="0"/>
        <w:rPr/>
      </w:pPr>
      <w:r>
        <w:rPr/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firstLine="709"/>
        <w:jc w:val="both"/>
        <w:outlineLvl w:val="0"/>
        <w:rPr/>
      </w:pPr>
      <w:r>
        <w:rPr/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firstLine="709"/>
        <w:jc w:val="both"/>
        <w:outlineLvl w:val="0"/>
        <w:rPr>
          <w:rFonts w:eastAsia="Calibri"/>
        </w:rPr>
      </w:pPr>
      <w:r>
        <w:rPr>
          <w:rFonts w:eastAsia="Calibri"/>
          <w:u w:val="single"/>
        </w:rPr>
        <w:t>Порядок возврата задатка</w:t>
      </w:r>
      <w:r>
        <w:rPr>
          <w:rFonts w:eastAsia="Calibri"/>
        </w:rPr>
        <w:t xml:space="preserve">: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hanging="0"/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аренды земельного участка.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firstLine="709"/>
        <w:jc w:val="both"/>
        <w:outlineLvl w:val="0"/>
        <w:rPr>
          <w:rFonts w:eastAsia="Calibri"/>
        </w:rPr>
      </w:pPr>
      <w:r>
        <w:rPr>
          <w:rFonts w:eastAsia="Calibri"/>
          <w:b w:val="false"/>
          <w:bCs w:val="false"/>
        </w:rPr>
        <w:t>9. В соответствии с п. 13 ст. 39.13 ЗК РФ по результатам проведения электронного аукциона договор купли-продажи земельного участка,</w:t>
      </w:r>
      <w:r>
        <w:rPr>
          <w:b w:val="false"/>
          <w:bCs w:val="false"/>
        </w:rPr>
        <w:t xml:space="preserve"> </w:t>
      </w:r>
      <w:r>
        <w:rPr>
          <w:rFonts w:eastAsia="Calibri"/>
          <w:b w:val="false"/>
          <w:bCs w:val="false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firstLine="709"/>
        <w:jc w:val="both"/>
        <w:outlineLvl w:val="0"/>
        <w:rPr>
          <w:rFonts w:eastAsia="Calibri"/>
        </w:rPr>
      </w:pPr>
      <w:r>
        <w:rPr>
          <w:rFonts w:eastAsia="Calibri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hanging="0"/>
        <w:jc w:val="both"/>
        <w:rPr>
          <w:u w:val="none"/>
        </w:rPr>
      </w:pPr>
      <w:r>
        <w:rPr/>
      </w:r>
    </w:p>
    <w:sectPr>
      <w:type w:val="nextPage"/>
      <w:pgSz w:w="11906" w:h="16838"/>
      <w:pgMar w:left="1134" w:right="851" w:header="0" w:top="550" w:footer="0" w:bottom="57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93ce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062468"/>
    <w:rPr>
      <w:color w:val="0000FF"/>
      <w:u w:val="single"/>
    </w:rPr>
  </w:style>
  <w:style w:type="character" w:styleId="ConsPlusNormal" w:customStyle="1">
    <w:name w:val="ConsPlusNormal Знак"/>
    <w:link w:val="ConsPlusNormal"/>
    <w:uiPriority w:val="99"/>
    <w:qFormat/>
    <w:locked/>
    <w:rsid w:val="00062468"/>
    <w:rPr>
      <w:rFonts w:ascii="Arial" w:hAnsi="Arial" w:eastAsia="Times New Roman" w:cs="Arial"/>
      <w:sz w:val="20"/>
      <w:szCs w:val="20"/>
      <w:lang w:eastAsia="ru-RU"/>
    </w:rPr>
  </w:style>
  <w:style w:type="character" w:styleId="Style15" w:customStyle="1">
    <w:name w:val="Абзац списка Знак"/>
    <w:link w:val="a6"/>
    <w:uiPriority w:val="99"/>
    <w:qFormat/>
    <w:locked/>
    <w:rsid w:val="00062468"/>
    <w:rPr>
      <w:rFonts w:ascii="Calibri" w:hAnsi="Calibri" w:eastAsia="Calibri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027d17"/>
    <w:rPr>
      <w:color w:val="800080" w:themeColor="followedHyperlink"/>
      <w:u w:val="single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4112fb"/>
    <w:rPr>
      <w:rFonts w:ascii="Segoe UI" w:hAnsi="Segoe UI" w:eastAsia="Times New Roman" w:cs="Segoe UI"/>
      <w:sz w:val="18"/>
      <w:szCs w:val="18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0"/>
    <w:uiPriority w:val="99"/>
    <w:qFormat/>
    <w:rsid w:val="00062468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link w:val="a5"/>
    <w:uiPriority w:val="99"/>
    <w:qFormat/>
    <w:rsid w:val="00062468"/>
    <w:pPr>
      <w:spacing w:lineRule="auto" w:line="276" w:before="0" w:after="200"/>
      <w:ind w:left="720" w:hanging="0"/>
      <w:contextualSpacing/>
    </w:pPr>
    <w:rPr>
      <w:rFonts w:ascii="Calibri" w:hAnsi="Calibri" w:eastAsia="Calibri" w:cs="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4112f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6246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tp.sberbank-ast.ru/AP/Notice/652/Instructions" TargetMode="External"/><Relationship Id="rId3" Type="http://schemas.openxmlformats.org/officeDocument/2006/relationships/hyperlink" Target="http://utp.sberbank-ast.ru/Main/Notice/988/Reglamen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Application>LibreOffice/6.4.4.2$Windows_X86_64 LibreOffice_project/3d775be2011f3886db32dfd395a6a6d1ca2630ff</Application>
  <Pages>7</Pages>
  <Words>2942</Words>
  <Characters>20437</Characters>
  <CharactersWithSpaces>23373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2022-08-24T14:12:00Z</dcterms:created>
  <dc:creator>User</dc:creator>
  <dc:description/>
  <dc:language>ru-RU</dc:language>
  <cp:lastModifiedBy/>
  <cp:lastPrinted>2025-05-28T12:46:33Z</cp:lastPrinted>
  <dcterms:modified xsi:type="dcterms:W3CDTF">2025-05-28T15:49:17Z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